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2836F" w14:textId="77777777" w:rsidR="009E7D87" w:rsidRDefault="009E7D87" w:rsidP="00D21891">
      <w:pPr>
        <w:spacing w:after="0" w:line="240" w:lineRule="auto"/>
        <w:rPr>
          <w:sz w:val="20"/>
          <w:szCs w:val="20"/>
        </w:rPr>
      </w:pPr>
    </w:p>
    <w:p w14:paraId="7B9FB641" w14:textId="77777777" w:rsidR="009D3E8A" w:rsidRPr="009D3E8A" w:rsidRDefault="009D3E8A" w:rsidP="009D3E8A">
      <w:pPr>
        <w:rPr>
          <w:sz w:val="20"/>
          <w:szCs w:val="20"/>
        </w:rPr>
      </w:pPr>
    </w:p>
    <w:p w14:paraId="7BE7D27F" w14:textId="77777777" w:rsidR="009D3E8A" w:rsidRDefault="009D3E8A" w:rsidP="009D3E8A">
      <w:pPr>
        <w:ind w:firstLine="720"/>
        <w:rPr>
          <w:sz w:val="20"/>
          <w:szCs w:val="20"/>
        </w:rPr>
      </w:pPr>
    </w:p>
    <w:p w14:paraId="473DD00A" w14:textId="26444525" w:rsidR="00DB2AF2" w:rsidRDefault="00DB2AF2" w:rsidP="00DB2AF2">
      <w:pPr>
        <w:spacing w:after="0" w:line="240" w:lineRule="auto"/>
        <w:rPr>
          <w:sz w:val="20"/>
          <w:szCs w:val="20"/>
        </w:rPr>
      </w:pPr>
      <w:r w:rsidRPr="00ED5483">
        <w:rPr>
          <w:sz w:val="20"/>
          <w:szCs w:val="20"/>
        </w:rPr>
        <w:t>1</w:t>
      </w:r>
      <w:r w:rsidR="00F0371B">
        <w:rPr>
          <w:sz w:val="20"/>
          <w:szCs w:val="20"/>
        </w:rPr>
        <w:t>1</w:t>
      </w:r>
      <w:r w:rsidRPr="00ED5483">
        <w:rPr>
          <w:sz w:val="20"/>
          <w:szCs w:val="20"/>
        </w:rPr>
        <w:t xml:space="preserve"> August 2026</w:t>
      </w:r>
      <w:r>
        <w:rPr>
          <w:sz w:val="20"/>
          <w:szCs w:val="20"/>
        </w:rPr>
        <w:tab/>
      </w:r>
    </w:p>
    <w:p w14:paraId="2962E880" w14:textId="77777777" w:rsidR="00DB2AF2" w:rsidRPr="00CE7E92" w:rsidRDefault="00DB2AF2" w:rsidP="00DB2AF2">
      <w:pPr>
        <w:spacing w:after="0" w:line="240" w:lineRule="auto"/>
        <w:rPr>
          <w:sz w:val="20"/>
          <w:szCs w:val="20"/>
        </w:rPr>
      </w:pPr>
      <w:r>
        <w:rPr>
          <w:sz w:val="20"/>
          <w:szCs w:val="20"/>
        </w:rPr>
        <w:tab/>
      </w:r>
      <w:r>
        <w:rPr>
          <w:sz w:val="20"/>
          <w:szCs w:val="20"/>
        </w:rPr>
        <w:tab/>
      </w:r>
      <w:r>
        <w:rPr>
          <w:sz w:val="20"/>
          <w:szCs w:val="20"/>
        </w:rPr>
        <w:tab/>
      </w:r>
    </w:p>
    <w:p w14:paraId="1A662359" w14:textId="2C9FF8E7" w:rsidR="000371C3" w:rsidRDefault="00DB2AF2" w:rsidP="00AF1482">
      <w:pPr>
        <w:spacing w:after="0"/>
        <w:rPr>
          <w:sz w:val="20"/>
          <w:szCs w:val="20"/>
        </w:rPr>
      </w:pPr>
      <w:r w:rsidRPr="0071261E">
        <w:rPr>
          <w:sz w:val="20"/>
          <w:szCs w:val="20"/>
        </w:rPr>
        <w:t>Ken Heaton</w:t>
      </w:r>
    </w:p>
    <w:p w14:paraId="527E3A4F" w14:textId="4908EEB1" w:rsidR="00DB2AF2" w:rsidRPr="0071261E" w:rsidRDefault="000371C3" w:rsidP="00DB2AF2">
      <w:pPr>
        <w:rPr>
          <w:sz w:val="20"/>
          <w:szCs w:val="20"/>
          <w:lang w:eastAsia="en-NZ"/>
        </w:rPr>
      </w:pPr>
      <w:r>
        <w:rPr>
          <w:sz w:val="20"/>
          <w:szCs w:val="20"/>
        </w:rPr>
        <w:t>Community Wellbeing Team</w:t>
      </w:r>
      <w:r w:rsidR="00DB2AF2" w:rsidRPr="0071261E">
        <w:rPr>
          <w:sz w:val="20"/>
          <w:szCs w:val="20"/>
        </w:rPr>
        <w:br/>
        <w:t>Department of Internal Affairs</w:t>
      </w:r>
      <w:r w:rsidR="00DB2AF2" w:rsidRPr="0071261E">
        <w:rPr>
          <w:sz w:val="20"/>
          <w:szCs w:val="20"/>
        </w:rPr>
        <w:br/>
        <w:t>45 Pipitea Street</w:t>
      </w:r>
      <w:r w:rsidR="00DB2AF2" w:rsidRPr="0071261E">
        <w:rPr>
          <w:sz w:val="20"/>
          <w:szCs w:val="20"/>
        </w:rPr>
        <w:br/>
        <w:t>Wellington</w:t>
      </w:r>
      <w:r w:rsidR="00DB2AF2" w:rsidRPr="0071261E">
        <w:rPr>
          <w:sz w:val="20"/>
          <w:szCs w:val="20"/>
        </w:rPr>
        <w:br/>
      </w:r>
      <w:r w:rsidR="00DB2AF2" w:rsidRPr="0071261E">
        <w:rPr>
          <w:sz w:val="20"/>
          <w:szCs w:val="20"/>
        </w:rPr>
        <w:br/>
        <w:t>Emailed to: Ken.Heaton@dia.govt.nz</w:t>
      </w:r>
    </w:p>
    <w:p w14:paraId="4F8FD14C" w14:textId="77777777" w:rsidR="00DB2AF2" w:rsidRPr="0071261E" w:rsidRDefault="00DB2AF2" w:rsidP="00DB2AF2">
      <w:pPr>
        <w:rPr>
          <w:sz w:val="20"/>
          <w:szCs w:val="20"/>
        </w:rPr>
      </w:pPr>
      <w:r w:rsidRPr="0071261E">
        <w:rPr>
          <w:sz w:val="20"/>
          <w:szCs w:val="20"/>
        </w:rPr>
        <w:t>Dear Ken</w:t>
      </w:r>
    </w:p>
    <w:p w14:paraId="36EE94AA" w14:textId="77777777" w:rsidR="00733656" w:rsidRDefault="00DB2AF2" w:rsidP="00733656">
      <w:pPr>
        <w:jc w:val="center"/>
        <w:rPr>
          <w:b/>
        </w:rPr>
      </w:pPr>
      <w:r w:rsidRPr="005701B6">
        <w:rPr>
          <w:b/>
        </w:rPr>
        <w:t>Submission by Te Kāhui Inihua o Aotearoa | Insurance Council of New Zealand</w:t>
      </w:r>
      <w:r w:rsidRPr="005701B6">
        <w:br/>
      </w:r>
      <w:r w:rsidRPr="005701B6">
        <w:rPr>
          <w:b/>
        </w:rPr>
        <w:t>to the Department of Internal Affairs</w:t>
      </w:r>
      <w:r w:rsidRPr="005701B6">
        <w:br/>
      </w:r>
      <w:r w:rsidRPr="005701B6">
        <w:br/>
      </w:r>
      <w:r w:rsidRPr="005701B6">
        <w:rPr>
          <w:b/>
        </w:rPr>
        <w:t>Review of the Fire and Emergency New Zealand Levy and Funding Arrangements</w:t>
      </w:r>
    </w:p>
    <w:p w14:paraId="527C56A0" w14:textId="6EEA8B4A" w:rsidR="009D3E8A" w:rsidRPr="00733656" w:rsidRDefault="00DB2AF2" w:rsidP="00733656">
      <w:pPr>
        <w:rPr>
          <w:b/>
        </w:rPr>
      </w:pPr>
      <w:r w:rsidRPr="006B688C">
        <w:rPr>
          <w:sz w:val="20"/>
          <w:szCs w:val="20"/>
        </w:rPr>
        <w:t xml:space="preserve">Thank you for the opportunity to provide this submission on the Department of Internal Affairs’ </w:t>
      </w:r>
      <w:r>
        <w:rPr>
          <w:sz w:val="20"/>
          <w:szCs w:val="20"/>
        </w:rPr>
        <w:t xml:space="preserve">(DIA) </w:t>
      </w:r>
      <w:r w:rsidRPr="006B688C">
        <w:rPr>
          <w:sz w:val="20"/>
          <w:szCs w:val="20"/>
        </w:rPr>
        <w:t xml:space="preserve">review of the Fire and Emergency New Zealand (FENZ) levy and funding arrangements. ICNZ welcomes the review. </w:t>
      </w:r>
      <w:r>
        <w:rPr>
          <w:sz w:val="20"/>
          <w:szCs w:val="20"/>
        </w:rPr>
        <w:t>ICNZ does not consider that funding FENZ through a levy on insurance is appropriate and we consider that alternatives exist that are fairer, simpler, more sustainable and more efficient. Despite attempts to improve it, the current model’s limitations remain and ICNZ welcomes the opportunity for broad reconsideration through this review.</w:t>
      </w:r>
    </w:p>
    <w:p w14:paraId="242BAFFA" w14:textId="77777777" w:rsidR="00733656" w:rsidRPr="006B688C" w:rsidRDefault="00733656" w:rsidP="00870B15">
      <w:pPr>
        <w:pStyle w:val="Heading1"/>
        <w:spacing w:before="160"/>
        <w:rPr>
          <w:rFonts w:ascii="PP Mori" w:hAnsi="PP Mori" w:cstheme="minorBidi"/>
          <w:b/>
          <w:bCs/>
          <w:color w:val="auto"/>
          <w:sz w:val="20"/>
          <w:szCs w:val="20"/>
          <w:lang w:eastAsia="en-NZ"/>
        </w:rPr>
      </w:pPr>
      <w:r w:rsidRPr="006B688C">
        <w:rPr>
          <w:rFonts w:ascii="PP Mori" w:hAnsi="PP Mori" w:cstheme="minorBidi"/>
          <w:b/>
          <w:bCs/>
          <w:color w:val="auto"/>
          <w:sz w:val="20"/>
          <w:szCs w:val="20"/>
        </w:rPr>
        <w:t>About ICNZ</w:t>
      </w:r>
    </w:p>
    <w:p w14:paraId="3B0AC889" w14:textId="77777777" w:rsidR="00733656" w:rsidRPr="006B688C" w:rsidRDefault="00733656" w:rsidP="00733656">
      <w:pPr>
        <w:rPr>
          <w:sz w:val="20"/>
          <w:szCs w:val="20"/>
          <w:lang w:eastAsia="en-NZ"/>
        </w:rPr>
      </w:pPr>
      <w:r w:rsidRPr="006B688C">
        <w:rPr>
          <w:sz w:val="20"/>
          <w:szCs w:val="20"/>
        </w:rPr>
        <w:t xml:space="preserve">Te Kāhui Inihua o Aotearoa | Insurance Council of New Zealand </w:t>
      </w:r>
      <w:r>
        <w:rPr>
          <w:sz w:val="20"/>
          <w:szCs w:val="20"/>
        </w:rPr>
        <w:t xml:space="preserve">(ICNZ) </w:t>
      </w:r>
      <w:r w:rsidRPr="006B688C">
        <w:rPr>
          <w:sz w:val="20"/>
          <w:szCs w:val="20"/>
        </w:rPr>
        <w:t>represents general insurers. ICNZ members accept the risks of over NZ$2 trillion of New Zealand’s assets and liabilities and provide insurance products for individuals, households, small businesses, larger organisations and public entities. ICNZ’s interest in this review is both as the representative body for insurers required to collect the current levy and as an organisation concerned with insurance affordability, availability and New Zealand’s long-term resilience to natural hazards.</w:t>
      </w:r>
    </w:p>
    <w:p w14:paraId="27BC0AE2" w14:textId="77777777" w:rsidR="00733656" w:rsidRPr="00A110E2" w:rsidRDefault="00733656" w:rsidP="00870B15">
      <w:pPr>
        <w:pStyle w:val="Heading1"/>
        <w:spacing w:before="160"/>
        <w:rPr>
          <w:rFonts w:cstheme="minorBidi"/>
          <w:b/>
          <w:bCs/>
          <w:sz w:val="20"/>
          <w:szCs w:val="20"/>
        </w:rPr>
      </w:pPr>
      <w:r w:rsidRPr="00A110E2">
        <w:rPr>
          <w:rFonts w:ascii="PP Mori" w:hAnsi="PP Mori" w:cstheme="minorBidi"/>
          <w:b/>
          <w:bCs/>
          <w:color w:val="000000"/>
          <w:sz w:val="20"/>
          <w:szCs w:val="20"/>
        </w:rPr>
        <w:t>Executive summary</w:t>
      </w:r>
    </w:p>
    <w:p w14:paraId="73FA5524" w14:textId="77777777" w:rsidR="00733656" w:rsidRDefault="00733656" w:rsidP="00733656">
      <w:pPr>
        <w:rPr>
          <w:sz w:val="20"/>
          <w:szCs w:val="20"/>
        </w:rPr>
      </w:pPr>
      <w:r>
        <w:rPr>
          <w:sz w:val="20"/>
          <w:szCs w:val="20"/>
        </w:rPr>
        <w:t xml:space="preserve">ICNZ supports a properly funded, effective fire and emergency service. However, </w:t>
      </w:r>
      <w:r w:rsidRPr="00A110E2">
        <w:rPr>
          <w:sz w:val="20"/>
          <w:szCs w:val="20"/>
        </w:rPr>
        <w:t>ICNZ submits that</w:t>
      </w:r>
      <w:r>
        <w:rPr>
          <w:sz w:val="20"/>
          <w:szCs w:val="20"/>
        </w:rPr>
        <w:t xml:space="preserve"> FENZ’s </w:t>
      </w:r>
      <w:r w:rsidRPr="00A110E2">
        <w:rPr>
          <w:sz w:val="20"/>
          <w:szCs w:val="20"/>
        </w:rPr>
        <w:t xml:space="preserve">current insurance-linked funding model is </w:t>
      </w:r>
      <w:r>
        <w:rPr>
          <w:sz w:val="20"/>
          <w:szCs w:val="20"/>
        </w:rPr>
        <w:t xml:space="preserve">not </w:t>
      </w:r>
      <w:r w:rsidRPr="00A110E2">
        <w:rPr>
          <w:sz w:val="20"/>
          <w:szCs w:val="20"/>
        </w:rPr>
        <w:t>fit for purpose</w:t>
      </w:r>
      <w:r>
        <w:rPr>
          <w:sz w:val="20"/>
          <w:szCs w:val="20"/>
        </w:rPr>
        <w:t>, adversely impacts the provision of insurance and should be replaced by a better alternative</w:t>
      </w:r>
      <w:r w:rsidRPr="00A110E2">
        <w:rPr>
          <w:sz w:val="20"/>
          <w:szCs w:val="20"/>
        </w:rPr>
        <w:t xml:space="preserve">. </w:t>
      </w:r>
    </w:p>
    <w:p w14:paraId="134398A5" w14:textId="5074586D" w:rsidR="002D3407" w:rsidRDefault="00733656" w:rsidP="002D3407">
      <w:pPr>
        <w:rPr>
          <w:sz w:val="20"/>
          <w:szCs w:val="20"/>
        </w:rPr>
      </w:pPr>
      <w:r>
        <w:rPr>
          <w:sz w:val="20"/>
          <w:szCs w:val="20"/>
        </w:rPr>
        <w:t>The insurance-based levy</w:t>
      </w:r>
      <w:r w:rsidRPr="00A110E2">
        <w:rPr>
          <w:sz w:val="20"/>
          <w:szCs w:val="20"/>
        </w:rPr>
        <w:t xml:space="preserve"> reflects a historical connection between fire insurance and fire services that no longer exists in practice. </w:t>
      </w:r>
      <w:r w:rsidRPr="00524DA1">
        <w:rPr>
          <w:sz w:val="20"/>
          <w:szCs w:val="20"/>
        </w:rPr>
        <w:t>FENZ now provides a broad emergency service that benefits all New Zealanders</w:t>
      </w:r>
      <w:r>
        <w:rPr>
          <w:sz w:val="20"/>
          <w:szCs w:val="20"/>
        </w:rPr>
        <w:t xml:space="preserve"> and </w:t>
      </w:r>
      <w:r w:rsidRPr="00524DA1">
        <w:rPr>
          <w:sz w:val="20"/>
          <w:szCs w:val="20"/>
        </w:rPr>
        <w:t>respo</w:t>
      </w:r>
      <w:r>
        <w:rPr>
          <w:sz w:val="20"/>
          <w:szCs w:val="20"/>
        </w:rPr>
        <w:t>nds</w:t>
      </w:r>
      <w:r w:rsidRPr="00524DA1">
        <w:rPr>
          <w:sz w:val="20"/>
          <w:szCs w:val="20"/>
        </w:rPr>
        <w:t xml:space="preserve"> </w:t>
      </w:r>
      <w:r>
        <w:rPr>
          <w:sz w:val="20"/>
          <w:szCs w:val="20"/>
        </w:rPr>
        <w:t xml:space="preserve">not only </w:t>
      </w:r>
      <w:r w:rsidRPr="00524DA1">
        <w:rPr>
          <w:sz w:val="20"/>
          <w:szCs w:val="20"/>
        </w:rPr>
        <w:t>to fires,</w:t>
      </w:r>
      <w:r>
        <w:rPr>
          <w:sz w:val="20"/>
          <w:szCs w:val="20"/>
        </w:rPr>
        <w:t xml:space="preserve"> but also to</w:t>
      </w:r>
      <w:r w:rsidRPr="00524DA1">
        <w:rPr>
          <w:sz w:val="20"/>
          <w:szCs w:val="20"/>
        </w:rPr>
        <w:t xml:space="preserve"> motor vehicle accidents, medical events, hazardous substances incidents</w:t>
      </w:r>
      <w:r>
        <w:rPr>
          <w:sz w:val="20"/>
          <w:szCs w:val="20"/>
        </w:rPr>
        <w:t xml:space="preserve"> and </w:t>
      </w:r>
      <w:r w:rsidRPr="00524DA1">
        <w:rPr>
          <w:sz w:val="20"/>
          <w:szCs w:val="20"/>
        </w:rPr>
        <w:t>civil defence emergencies. Funding those</w:t>
      </w:r>
      <w:r w:rsidR="00870B15">
        <w:rPr>
          <w:sz w:val="20"/>
          <w:szCs w:val="20"/>
        </w:rPr>
        <w:t xml:space="preserve"> </w:t>
      </w:r>
      <w:r w:rsidR="002D3407" w:rsidRPr="00524DA1">
        <w:rPr>
          <w:sz w:val="20"/>
          <w:szCs w:val="20"/>
        </w:rPr>
        <w:t>services primarily through levies on insurance contracts places a disproportionate burden on insured households</w:t>
      </w:r>
      <w:r w:rsidR="002D3407">
        <w:rPr>
          <w:sz w:val="20"/>
          <w:szCs w:val="20"/>
        </w:rPr>
        <w:t xml:space="preserve"> and businesses</w:t>
      </w:r>
      <w:r w:rsidR="002D3407" w:rsidRPr="00524DA1">
        <w:rPr>
          <w:sz w:val="20"/>
          <w:szCs w:val="20"/>
        </w:rPr>
        <w:t>, while leaving uninsured property owners and some Crown assets outside the funding base.</w:t>
      </w:r>
      <w:r w:rsidR="002D3407">
        <w:rPr>
          <w:sz w:val="20"/>
          <w:szCs w:val="20"/>
        </w:rPr>
        <w:t xml:space="preserve"> The FENZ levy </w:t>
      </w:r>
      <w:r w:rsidR="002D3407" w:rsidRPr="00235AC1">
        <w:rPr>
          <w:sz w:val="20"/>
          <w:szCs w:val="20"/>
        </w:rPr>
        <w:t xml:space="preserve">also increases the cost of insurance and can </w:t>
      </w:r>
      <w:r w:rsidR="002D3407" w:rsidRPr="00235AC1">
        <w:rPr>
          <w:sz w:val="20"/>
          <w:szCs w:val="20"/>
        </w:rPr>
        <w:lastRenderedPageBreak/>
        <w:t xml:space="preserve">affect whether households and businesses maintain insurance, and the level of cover they choose. This </w:t>
      </w:r>
      <w:r w:rsidR="002D3407">
        <w:rPr>
          <w:sz w:val="20"/>
          <w:szCs w:val="20"/>
        </w:rPr>
        <w:t>i</w:t>
      </w:r>
      <w:r w:rsidR="002D3407" w:rsidRPr="00235AC1">
        <w:rPr>
          <w:sz w:val="20"/>
          <w:szCs w:val="20"/>
        </w:rPr>
        <w:t>s</w:t>
      </w:r>
      <w:r w:rsidR="002D3407">
        <w:rPr>
          <w:sz w:val="20"/>
          <w:szCs w:val="20"/>
        </w:rPr>
        <w:t xml:space="preserve"> important</w:t>
      </w:r>
      <w:r w:rsidR="002D3407" w:rsidRPr="00235AC1">
        <w:rPr>
          <w:sz w:val="20"/>
          <w:szCs w:val="20"/>
        </w:rPr>
        <w:t xml:space="preserve"> because insurance uptake is central to New Zealand’s resilience</w:t>
      </w:r>
      <w:r w:rsidR="002D3407">
        <w:rPr>
          <w:sz w:val="20"/>
          <w:szCs w:val="20"/>
        </w:rPr>
        <w:t xml:space="preserve"> to natural hazards and other emergencies.</w:t>
      </w:r>
    </w:p>
    <w:p w14:paraId="23439DB4" w14:textId="77777777" w:rsidR="002D3407" w:rsidRDefault="002D3407" w:rsidP="002D3407">
      <w:pPr>
        <w:rPr>
          <w:sz w:val="20"/>
          <w:szCs w:val="20"/>
        </w:rPr>
      </w:pPr>
      <w:r>
        <w:rPr>
          <w:sz w:val="20"/>
          <w:szCs w:val="20"/>
        </w:rPr>
        <w:t>The levy system is also complex for insurers to administer and has been subject to frequent changes, which has added significant compliance costs that are ultimately borne by insurance customers.</w:t>
      </w:r>
    </w:p>
    <w:p w14:paraId="7405B8DC" w14:textId="61F4E4C4" w:rsidR="002D3407" w:rsidRPr="00EB64F9" w:rsidRDefault="002D3407" w:rsidP="002D3407">
      <w:pPr>
        <w:rPr>
          <w:sz w:val="20"/>
          <w:szCs w:val="20"/>
        </w:rPr>
      </w:pPr>
      <w:r w:rsidRPr="001644DF">
        <w:rPr>
          <w:sz w:val="20"/>
          <w:szCs w:val="20"/>
        </w:rPr>
        <w:t>ICNZ recommends</w:t>
      </w:r>
      <w:r w:rsidRPr="00A110E2">
        <w:rPr>
          <w:sz w:val="20"/>
          <w:szCs w:val="20"/>
        </w:rPr>
        <w:t xml:space="preserve"> that the Government move away from the insurance-based levy and adopt a broader funding model that </w:t>
      </w:r>
      <w:r>
        <w:rPr>
          <w:sz w:val="20"/>
          <w:szCs w:val="20"/>
        </w:rPr>
        <w:t xml:space="preserve">is more comprehensive and </w:t>
      </w:r>
      <w:r w:rsidRPr="00A110E2">
        <w:rPr>
          <w:sz w:val="20"/>
          <w:szCs w:val="20"/>
        </w:rPr>
        <w:t>better reflects the public</w:t>
      </w:r>
      <w:r w:rsidR="0017014C">
        <w:rPr>
          <w:sz w:val="20"/>
          <w:szCs w:val="20"/>
        </w:rPr>
        <w:t xml:space="preserve"> </w:t>
      </w:r>
      <w:r w:rsidRPr="00A110E2">
        <w:rPr>
          <w:sz w:val="20"/>
          <w:szCs w:val="20"/>
        </w:rPr>
        <w:t xml:space="preserve">good nature of emergency </w:t>
      </w:r>
      <w:r w:rsidRPr="00EB64F9">
        <w:rPr>
          <w:sz w:val="20"/>
          <w:szCs w:val="20"/>
        </w:rPr>
        <w:t xml:space="preserve">services. </w:t>
      </w:r>
    </w:p>
    <w:p w14:paraId="1A91D226" w14:textId="133EE517" w:rsidR="002D3407" w:rsidRPr="009B76DA" w:rsidRDefault="002D3407" w:rsidP="002D3407">
      <w:pPr>
        <w:rPr>
          <w:sz w:val="20"/>
          <w:szCs w:val="20"/>
        </w:rPr>
      </w:pPr>
      <w:r w:rsidRPr="00EB64F9">
        <w:rPr>
          <w:sz w:val="20"/>
          <w:szCs w:val="20"/>
        </w:rPr>
        <w:t>ICNZ considers that funding FENZ</w:t>
      </w:r>
      <w:r>
        <w:rPr>
          <w:sz w:val="20"/>
          <w:szCs w:val="20"/>
        </w:rPr>
        <w:t xml:space="preserve"> through central taxation would be </w:t>
      </w:r>
      <w:r w:rsidRPr="009B76DA">
        <w:rPr>
          <w:sz w:val="20"/>
          <w:szCs w:val="20"/>
        </w:rPr>
        <w:t>the simplest and most equitable</w:t>
      </w:r>
      <w:r>
        <w:rPr>
          <w:sz w:val="20"/>
          <w:szCs w:val="20"/>
        </w:rPr>
        <w:t xml:space="preserve"> funding arrangement</w:t>
      </w:r>
      <w:r w:rsidRPr="009B76DA">
        <w:rPr>
          <w:sz w:val="20"/>
          <w:szCs w:val="20"/>
        </w:rPr>
        <w:t>. This would best reflect the public</w:t>
      </w:r>
      <w:r w:rsidR="0017014C">
        <w:rPr>
          <w:sz w:val="20"/>
          <w:szCs w:val="20"/>
        </w:rPr>
        <w:t xml:space="preserve"> </w:t>
      </w:r>
      <w:r w:rsidRPr="009B76DA">
        <w:rPr>
          <w:sz w:val="20"/>
          <w:szCs w:val="20"/>
        </w:rPr>
        <w:t>good nature of FENZ’s functions.</w:t>
      </w:r>
    </w:p>
    <w:p w14:paraId="6737C9F4" w14:textId="77777777" w:rsidR="002D3407" w:rsidRPr="009B76DA" w:rsidRDefault="002D3407" w:rsidP="002D3407">
      <w:pPr>
        <w:rPr>
          <w:sz w:val="20"/>
          <w:szCs w:val="20"/>
        </w:rPr>
      </w:pPr>
      <w:r w:rsidRPr="009B76DA">
        <w:rPr>
          <w:sz w:val="20"/>
          <w:szCs w:val="20"/>
        </w:rPr>
        <w:t>If the Government is not prepared to move to full Crown funding, ICNZ considers that a model based on property and motor vehicle contributions would be</w:t>
      </w:r>
      <w:r>
        <w:rPr>
          <w:sz w:val="20"/>
          <w:szCs w:val="20"/>
        </w:rPr>
        <w:t xml:space="preserve"> clearly</w:t>
      </w:r>
      <w:r w:rsidRPr="009B76DA">
        <w:rPr>
          <w:sz w:val="20"/>
          <w:szCs w:val="20"/>
        </w:rPr>
        <w:t xml:space="preserve"> preferable to the current insurance-based levy. Motor vehicle-related emergency response could be funded through vehicle registration, while property-related contributions could be collected through a property-based mechanism, such as council rates or a dedicated property levy. This would broaden the funding base</w:t>
      </w:r>
      <w:r>
        <w:rPr>
          <w:sz w:val="20"/>
          <w:szCs w:val="20"/>
        </w:rPr>
        <w:t xml:space="preserve"> </w:t>
      </w:r>
      <w:r w:rsidRPr="009B76DA">
        <w:rPr>
          <w:sz w:val="20"/>
          <w:szCs w:val="20"/>
        </w:rPr>
        <w:t>and</w:t>
      </w:r>
      <w:r>
        <w:rPr>
          <w:sz w:val="20"/>
          <w:szCs w:val="20"/>
        </w:rPr>
        <w:t xml:space="preserve"> enable</w:t>
      </w:r>
      <w:r w:rsidRPr="009B76DA">
        <w:rPr>
          <w:sz w:val="20"/>
          <w:szCs w:val="20"/>
        </w:rPr>
        <w:t xml:space="preserve"> the impact of the levy on insurance affordability and uptake</w:t>
      </w:r>
      <w:r>
        <w:rPr>
          <w:sz w:val="20"/>
          <w:szCs w:val="20"/>
        </w:rPr>
        <w:t xml:space="preserve"> to be reduced</w:t>
      </w:r>
      <w:r w:rsidRPr="009B76DA">
        <w:rPr>
          <w:sz w:val="20"/>
          <w:szCs w:val="20"/>
        </w:rPr>
        <w:t>.</w:t>
      </w:r>
    </w:p>
    <w:p w14:paraId="624B80C9" w14:textId="77777777" w:rsidR="002D3407" w:rsidRPr="009B76DA" w:rsidRDefault="002D3407" w:rsidP="002D3407">
      <w:pPr>
        <w:rPr>
          <w:sz w:val="20"/>
          <w:szCs w:val="20"/>
        </w:rPr>
      </w:pPr>
      <w:r w:rsidRPr="009B76DA">
        <w:rPr>
          <w:sz w:val="20"/>
          <w:szCs w:val="20"/>
        </w:rPr>
        <w:t xml:space="preserve">ICNZ recognises that a </w:t>
      </w:r>
      <w:r>
        <w:rPr>
          <w:sz w:val="20"/>
          <w:szCs w:val="20"/>
        </w:rPr>
        <w:t>model based on property and vehicle contributions</w:t>
      </w:r>
      <w:r w:rsidRPr="009B76DA">
        <w:rPr>
          <w:sz w:val="20"/>
          <w:szCs w:val="20"/>
        </w:rPr>
        <w:t xml:space="preserve"> would require careful design and implementation. However, those implementation issues should not prevent progress toward a fairer and more sustainable funding model. The current insurance-based levy is narrow, complex, costly to administer and increasingly difficult to justify as the principal funding source for a modern emergency service.</w:t>
      </w:r>
    </w:p>
    <w:p w14:paraId="0598957C" w14:textId="3AC1A926" w:rsidR="002D3407" w:rsidRPr="00EB64F9" w:rsidRDefault="002D3407" w:rsidP="002D3407">
      <w:pPr>
        <w:rPr>
          <w:sz w:val="20"/>
          <w:szCs w:val="20"/>
        </w:rPr>
      </w:pPr>
      <w:r w:rsidRPr="009B76DA">
        <w:rPr>
          <w:sz w:val="20"/>
          <w:szCs w:val="20"/>
        </w:rPr>
        <w:t xml:space="preserve">ICNZ therefore recommends that the Government commit to moving away from the insurance-based levy. The </w:t>
      </w:r>
      <w:r>
        <w:rPr>
          <w:sz w:val="20"/>
          <w:szCs w:val="20"/>
        </w:rPr>
        <w:t xml:space="preserve">Government should adopt </w:t>
      </w:r>
      <w:r w:rsidRPr="009B76DA">
        <w:rPr>
          <w:sz w:val="20"/>
          <w:szCs w:val="20"/>
        </w:rPr>
        <w:t>full Crown funding through taxation</w:t>
      </w:r>
      <w:r>
        <w:rPr>
          <w:sz w:val="20"/>
          <w:szCs w:val="20"/>
        </w:rPr>
        <w:t xml:space="preserve"> or, i</w:t>
      </w:r>
      <w:r w:rsidRPr="009B76DA">
        <w:rPr>
          <w:sz w:val="20"/>
          <w:szCs w:val="20"/>
        </w:rPr>
        <w:t>f that is not progressed, develop a staged transition to a broader property</w:t>
      </w:r>
      <w:r>
        <w:rPr>
          <w:sz w:val="20"/>
          <w:szCs w:val="20"/>
        </w:rPr>
        <w:t xml:space="preserve"> </w:t>
      </w:r>
      <w:r w:rsidRPr="009B76DA">
        <w:rPr>
          <w:sz w:val="20"/>
          <w:szCs w:val="20"/>
        </w:rPr>
        <w:t>and motor</w:t>
      </w:r>
      <w:r>
        <w:rPr>
          <w:sz w:val="20"/>
          <w:szCs w:val="20"/>
        </w:rPr>
        <w:t xml:space="preserve"> </w:t>
      </w:r>
      <w:r w:rsidRPr="009B76DA">
        <w:rPr>
          <w:sz w:val="20"/>
          <w:szCs w:val="20"/>
        </w:rPr>
        <w:t>vehicle</w:t>
      </w:r>
      <w:r>
        <w:rPr>
          <w:sz w:val="20"/>
          <w:szCs w:val="20"/>
        </w:rPr>
        <w:t>-</w:t>
      </w:r>
      <w:r w:rsidRPr="009B76DA">
        <w:rPr>
          <w:sz w:val="20"/>
          <w:szCs w:val="20"/>
        </w:rPr>
        <w:t xml:space="preserve">based model, </w:t>
      </w:r>
      <w:r>
        <w:rPr>
          <w:sz w:val="20"/>
          <w:szCs w:val="20"/>
        </w:rPr>
        <w:t>with</w:t>
      </w:r>
      <w:r w:rsidRPr="009B76DA">
        <w:rPr>
          <w:sz w:val="20"/>
          <w:szCs w:val="20"/>
        </w:rPr>
        <w:t xml:space="preserve"> increased Crown funding to reflect the public</w:t>
      </w:r>
      <w:r w:rsidR="0017014C">
        <w:rPr>
          <w:sz w:val="20"/>
          <w:szCs w:val="20"/>
        </w:rPr>
        <w:t xml:space="preserve"> </w:t>
      </w:r>
      <w:r w:rsidRPr="009B76DA">
        <w:rPr>
          <w:sz w:val="20"/>
          <w:szCs w:val="20"/>
        </w:rPr>
        <w:t xml:space="preserve">good elements of </w:t>
      </w:r>
      <w:r w:rsidRPr="00EB64F9">
        <w:rPr>
          <w:sz w:val="20"/>
          <w:szCs w:val="20"/>
        </w:rPr>
        <w:t>FENZ’s work and the contribution that Crown property should make to the system.</w:t>
      </w:r>
    </w:p>
    <w:p w14:paraId="49AB7031" w14:textId="77777777" w:rsidR="002D3407" w:rsidRPr="00A110E2" w:rsidRDefault="002D3407" w:rsidP="00BA13CE">
      <w:pPr>
        <w:pStyle w:val="Heading2"/>
        <w:spacing w:before="160" w:after="80"/>
        <w:rPr>
          <w:rFonts w:cstheme="minorBidi"/>
          <w:b/>
          <w:bCs/>
          <w:color w:val="auto"/>
          <w:sz w:val="20"/>
          <w:szCs w:val="20"/>
        </w:rPr>
      </w:pPr>
      <w:r w:rsidRPr="00A110E2">
        <w:rPr>
          <w:rFonts w:ascii="PP Mori" w:hAnsi="PP Mori" w:cstheme="minorBidi"/>
          <w:b/>
          <w:bCs/>
          <w:color w:val="auto"/>
          <w:sz w:val="20"/>
          <w:szCs w:val="20"/>
        </w:rPr>
        <w:t>1. The current insurance-linked levy is no longer fit for purpose</w:t>
      </w:r>
      <w:r>
        <w:rPr>
          <w:rFonts w:ascii="PP Mori" w:hAnsi="PP Mori" w:cstheme="minorBidi"/>
          <w:b/>
          <w:bCs/>
          <w:color w:val="auto"/>
          <w:sz w:val="20"/>
          <w:szCs w:val="20"/>
        </w:rPr>
        <w:t xml:space="preserve"> and should be replaced</w:t>
      </w:r>
    </w:p>
    <w:p w14:paraId="50FBDFD7" w14:textId="629C0F87" w:rsidR="002D3407" w:rsidRPr="00F0371B" w:rsidRDefault="002D3407" w:rsidP="002D3407">
      <w:pPr>
        <w:rPr>
          <w:sz w:val="20"/>
          <w:szCs w:val="20"/>
        </w:rPr>
      </w:pPr>
      <w:r w:rsidRPr="00A110E2">
        <w:rPr>
          <w:sz w:val="20"/>
          <w:szCs w:val="20"/>
        </w:rPr>
        <w:t>The current funding system reflects</w:t>
      </w:r>
      <w:r>
        <w:rPr>
          <w:sz w:val="20"/>
          <w:szCs w:val="20"/>
        </w:rPr>
        <w:t xml:space="preserve"> the historical role of insurance-funded fire services (provided to insured customers only) and the </w:t>
      </w:r>
      <w:r w:rsidRPr="00A110E2">
        <w:rPr>
          <w:sz w:val="20"/>
          <w:szCs w:val="20"/>
        </w:rPr>
        <w:t xml:space="preserve">outdated assumption that fire services principally protect insured property from fire. That is no longer the case. </w:t>
      </w:r>
      <w:r>
        <w:rPr>
          <w:sz w:val="20"/>
          <w:szCs w:val="20"/>
        </w:rPr>
        <w:t xml:space="preserve">FENZ </w:t>
      </w:r>
      <w:r w:rsidRPr="00A110E2">
        <w:rPr>
          <w:sz w:val="20"/>
          <w:szCs w:val="20"/>
        </w:rPr>
        <w:t>now provide</w:t>
      </w:r>
      <w:r>
        <w:rPr>
          <w:sz w:val="20"/>
          <w:szCs w:val="20"/>
        </w:rPr>
        <w:t>s</w:t>
      </w:r>
      <w:r w:rsidRPr="00A110E2">
        <w:rPr>
          <w:sz w:val="20"/>
          <w:szCs w:val="20"/>
        </w:rPr>
        <w:t xml:space="preserve"> a broad public service that protects life, supports emergency response, and assists communities through events that extend well beyond </w:t>
      </w:r>
      <w:r>
        <w:rPr>
          <w:sz w:val="20"/>
          <w:szCs w:val="20"/>
        </w:rPr>
        <w:t xml:space="preserve">only </w:t>
      </w:r>
      <w:r w:rsidRPr="00A110E2">
        <w:rPr>
          <w:sz w:val="20"/>
          <w:szCs w:val="20"/>
        </w:rPr>
        <w:t>fire. The public</w:t>
      </w:r>
      <w:r w:rsidR="0017014C">
        <w:rPr>
          <w:sz w:val="20"/>
          <w:szCs w:val="20"/>
        </w:rPr>
        <w:t xml:space="preserve"> </w:t>
      </w:r>
      <w:r w:rsidRPr="00A110E2">
        <w:rPr>
          <w:sz w:val="20"/>
          <w:szCs w:val="20"/>
        </w:rPr>
        <w:t xml:space="preserve">good nature of these services means it is </w:t>
      </w:r>
      <w:r w:rsidRPr="00F0371B">
        <w:rPr>
          <w:sz w:val="20"/>
          <w:szCs w:val="20"/>
        </w:rPr>
        <w:t>increasingly inappropriate to fund them primarily through levies on insurance contracts.</w:t>
      </w:r>
    </w:p>
    <w:p w14:paraId="69C7255A" w14:textId="3BABD115" w:rsidR="002D3407" w:rsidRDefault="002D3407" w:rsidP="002D3407">
      <w:pPr>
        <w:rPr>
          <w:sz w:val="20"/>
          <w:szCs w:val="20"/>
        </w:rPr>
      </w:pPr>
      <w:r w:rsidRPr="00F0371B">
        <w:rPr>
          <w:sz w:val="20"/>
          <w:szCs w:val="20"/>
        </w:rPr>
        <w:t>A new significantly revised version of the insurance-based levy recently commenced.</w:t>
      </w:r>
      <w:r w:rsidR="00334186" w:rsidRPr="00F0371B">
        <w:rPr>
          <w:sz w:val="20"/>
          <w:szCs w:val="20"/>
        </w:rPr>
        <w:t xml:space="preserve"> </w:t>
      </w:r>
      <w:r w:rsidR="00DE2FBF" w:rsidRPr="00F0371B">
        <w:rPr>
          <w:sz w:val="20"/>
          <w:szCs w:val="20"/>
        </w:rPr>
        <w:t xml:space="preserve">This change was implemented at significant </w:t>
      </w:r>
      <w:r w:rsidR="00EC2261" w:rsidRPr="00F0371B">
        <w:rPr>
          <w:sz w:val="20"/>
          <w:szCs w:val="20"/>
        </w:rPr>
        <w:t xml:space="preserve">cost to insurers. </w:t>
      </w:r>
      <w:r w:rsidRPr="00F0371B">
        <w:rPr>
          <w:sz w:val="20"/>
          <w:szCs w:val="20"/>
        </w:rPr>
        <w:t>While the changes have addressed some technical issues, they have also created new ones and reinforced the inherent limitations and issues associated with an insurance-based levy.</w:t>
      </w:r>
      <w:r>
        <w:rPr>
          <w:sz w:val="20"/>
          <w:szCs w:val="20"/>
        </w:rPr>
        <w:t xml:space="preserve"> </w:t>
      </w:r>
    </w:p>
    <w:p w14:paraId="651509A2" w14:textId="77777777" w:rsidR="00ED5483" w:rsidRPr="00CE7E92" w:rsidRDefault="004B3CFB">
      <w:pPr>
        <w:pStyle w:val="Heading2"/>
        <w:spacing w:before="160" w:after="80"/>
        <w:rPr>
          <w:sz w:val="20"/>
          <w:szCs w:val="20"/>
        </w:rPr>
      </w:pPr>
      <w:r w:rsidRPr="00007C0B">
        <w:rPr>
          <w:rFonts w:ascii="PP Mori" w:hAnsi="PP Mori"/>
          <w:b/>
          <w:color w:val="000000"/>
          <w:sz w:val="20"/>
          <w:szCs w:val="20"/>
        </w:rPr>
        <w:lastRenderedPageBreak/>
        <w:t>2. Fairness and breadth of funding base</w:t>
      </w:r>
    </w:p>
    <w:p w14:paraId="0E653EF1" w14:textId="77777777" w:rsidR="002D3407" w:rsidRDefault="002D3407" w:rsidP="002D3407">
      <w:pPr>
        <w:rPr>
          <w:sz w:val="20"/>
          <w:szCs w:val="20"/>
        </w:rPr>
      </w:pPr>
      <w:r w:rsidRPr="00A110E2">
        <w:rPr>
          <w:sz w:val="20"/>
          <w:szCs w:val="20"/>
        </w:rPr>
        <w:t>A broader funding base</w:t>
      </w:r>
      <w:r>
        <w:rPr>
          <w:sz w:val="20"/>
          <w:szCs w:val="20"/>
        </w:rPr>
        <w:t>, not linked to insurance,</w:t>
      </w:r>
      <w:r w:rsidRPr="00A110E2">
        <w:rPr>
          <w:sz w:val="20"/>
          <w:szCs w:val="20"/>
        </w:rPr>
        <w:t xml:space="preserve"> would be </w:t>
      </w:r>
      <w:r>
        <w:rPr>
          <w:sz w:val="20"/>
          <w:szCs w:val="20"/>
        </w:rPr>
        <w:t xml:space="preserve">both </w:t>
      </w:r>
      <w:r w:rsidRPr="00A110E2">
        <w:rPr>
          <w:sz w:val="20"/>
          <w:szCs w:val="20"/>
        </w:rPr>
        <w:t>fairer and more sustainable.</w:t>
      </w:r>
    </w:p>
    <w:p w14:paraId="5D2C50BB" w14:textId="77777777" w:rsidR="002D3407" w:rsidRDefault="002D3407" w:rsidP="002D3407">
      <w:pPr>
        <w:rPr>
          <w:sz w:val="20"/>
          <w:szCs w:val="20"/>
        </w:rPr>
      </w:pPr>
      <w:r w:rsidRPr="00A110E2">
        <w:rPr>
          <w:sz w:val="20"/>
          <w:szCs w:val="20"/>
        </w:rPr>
        <w:t>The existing</w:t>
      </w:r>
      <w:r>
        <w:rPr>
          <w:sz w:val="20"/>
          <w:szCs w:val="20"/>
        </w:rPr>
        <w:t xml:space="preserve"> funding</w:t>
      </w:r>
      <w:r w:rsidRPr="00A110E2">
        <w:rPr>
          <w:sz w:val="20"/>
          <w:szCs w:val="20"/>
        </w:rPr>
        <w:t xml:space="preserve"> model is inequitable because only those who purchase relevant insurance products contribute through the levy, while all New Zealanders</w:t>
      </w:r>
      <w:r>
        <w:rPr>
          <w:sz w:val="20"/>
          <w:szCs w:val="20"/>
        </w:rPr>
        <w:t xml:space="preserve"> (and visitors to New Zealand) may</w:t>
      </w:r>
      <w:r w:rsidRPr="00A110E2">
        <w:rPr>
          <w:sz w:val="20"/>
          <w:szCs w:val="20"/>
        </w:rPr>
        <w:t xml:space="preserve"> benefit from FENZ services</w:t>
      </w:r>
      <w:r>
        <w:rPr>
          <w:sz w:val="20"/>
          <w:szCs w:val="20"/>
        </w:rPr>
        <w:t>. FENZ functions also extend well beyond responding to insured property fires, and now include responding to medical events, motor vehicle accidents, hazardous substance incidents, civil defence emergencies and other non-fire incidents</w:t>
      </w:r>
      <w:r w:rsidRPr="00A110E2">
        <w:rPr>
          <w:sz w:val="20"/>
          <w:szCs w:val="20"/>
        </w:rPr>
        <w:t xml:space="preserve">. This means insured households and businesses bear a disproportionate share of the cost of services that benefit the wider community. </w:t>
      </w:r>
    </w:p>
    <w:p w14:paraId="08220415" w14:textId="36D39799" w:rsidR="002D3407" w:rsidRDefault="002D3407" w:rsidP="002D3407">
      <w:pPr>
        <w:rPr>
          <w:sz w:val="20"/>
          <w:szCs w:val="20"/>
        </w:rPr>
      </w:pPr>
      <w:r w:rsidRPr="00BA062E">
        <w:rPr>
          <w:sz w:val="20"/>
          <w:szCs w:val="20"/>
        </w:rPr>
        <w:t>The current model creates a free-rider issue. Uninsured property owners benefit from FENZ response capability but do not contribute through the main levy mechanism. Similar concerns arise in relation to Crown-owned assets, particularly where Crown agencies self-insure or make only limited contributions to FENZ funding. This is difficult to justify given the public</w:t>
      </w:r>
      <w:r w:rsidR="0017014C">
        <w:rPr>
          <w:sz w:val="20"/>
          <w:szCs w:val="20"/>
        </w:rPr>
        <w:t xml:space="preserve"> </w:t>
      </w:r>
      <w:r w:rsidRPr="00BA062E">
        <w:rPr>
          <w:sz w:val="20"/>
          <w:szCs w:val="20"/>
        </w:rPr>
        <w:t>good nature of FENZ’s work and the scale of Crown property interests.</w:t>
      </w:r>
    </w:p>
    <w:p w14:paraId="1C034D8F" w14:textId="77777777" w:rsidR="002D3407" w:rsidRPr="004F6729" w:rsidRDefault="002D3407" w:rsidP="002D3407">
      <w:pPr>
        <w:rPr>
          <w:sz w:val="20"/>
          <w:szCs w:val="20"/>
        </w:rPr>
      </w:pPr>
      <w:r>
        <w:rPr>
          <w:sz w:val="20"/>
          <w:szCs w:val="20"/>
        </w:rPr>
        <w:t>I</w:t>
      </w:r>
      <w:r w:rsidRPr="004F6729">
        <w:rPr>
          <w:sz w:val="20"/>
          <w:szCs w:val="20"/>
        </w:rPr>
        <w:t>nsurance-based funding also creates distortions between</w:t>
      </w:r>
      <w:r>
        <w:rPr>
          <w:sz w:val="20"/>
          <w:szCs w:val="20"/>
        </w:rPr>
        <w:t xml:space="preserve"> insured property owners</w:t>
      </w:r>
      <w:r w:rsidRPr="004F6729">
        <w:rPr>
          <w:sz w:val="20"/>
          <w:szCs w:val="20"/>
        </w:rPr>
        <w:t xml:space="preserve">. The design of the levy means there can be significant differences in the amount of levy paid by </w:t>
      </w:r>
      <w:r>
        <w:rPr>
          <w:sz w:val="20"/>
          <w:szCs w:val="20"/>
        </w:rPr>
        <w:t xml:space="preserve">policyholders </w:t>
      </w:r>
      <w:r w:rsidRPr="004F6729">
        <w:rPr>
          <w:sz w:val="20"/>
          <w:szCs w:val="20"/>
        </w:rPr>
        <w:t>with similar underlying assets, depending on how those assets are insured or how the levy rules apply. For example, some businesses may insure on a first-loss basis, while others may insure each property for its full value. Levy liabilities can therefore vary substantially</w:t>
      </w:r>
      <w:r>
        <w:rPr>
          <w:sz w:val="20"/>
          <w:szCs w:val="20"/>
        </w:rPr>
        <w:t xml:space="preserve">, </w:t>
      </w:r>
      <w:r w:rsidRPr="004F6729">
        <w:rPr>
          <w:sz w:val="20"/>
          <w:szCs w:val="20"/>
        </w:rPr>
        <w:t>in some cases by more than tenfold</w:t>
      </w:r>
      <w:r>
        <w:rPr>
          <w:sz w:val="20"/>
          <w:szCs w:val="20"/>
        </w:rPr>
        <w:t xml:space="preserve">, </w:t>
      </w:r>
      <w:r w:rsidRPr="004F6729">
        <w:rPr>
          <w:sz w:val="20"/>
          <w:szCs w:val="20"/>
        </w:rPr>
        <w:t>even where the underlying property value is similar. An insur</w:t>
      </w:r>
      <w:r>
        <w:rPr>
          <w:sz w:val="20"/>
          <w:szCs w:val="20"/>
        </w:rPr>
        <w:t>ance</w:t>
      </w:r>
      <w:r w:rsidRPr="004F6729">
        <w:rPr>
          <w:sz w:val="20"/>
          <w:szCs w:val="20"/>
        </w:rPr>
        <w:t>-based levy also has limited ability to reflect the actual risk generated by particular property or asset classes.</w:t>
      </w:r>
    </w:p>
    <w:p w14:paraId="45C315B4" w14:textId="3759DDF0" w:rsidR="002D3407" w:rsidRDefault="002D3407" w:rsidP="002D3407">
      <w:pPr>
        <w:rPr>
          <w:sz w:val="20"/>
          <w:szCs w:val="20"/>
        </w:rPr>
      </w:pPr>
      <w:r>
        <w:rPr>
          <w:sz w:val="20"/>
          <w:szCs w:val="20"/>
        </w:rPr>
        <w:t xml:space="preserve">Concerns about </w:t>
      </w:r>
      <w:r w:rsidRPr="004F6729">
        <w:rPr>
          <w:sz w:val="20"/>
          <w:szCs w:val="20"/>
        </w:rPr>
        <w:t>fairness are not new.</w:t>
      </w:r>
      <w:r>
        <w:rPr>
          <w:sz w:val="20"/>
          <w:szCs w:val="20"/>
        </w:rPr>
        <w:t xml:space="preserve"> The Department of Internal Affairs (</w:t>
      </w:r>
      <w:r w:rsidRPr="004F6729">
        <w:rPr>
          <w:sz w:val="20"/>
          <w:szCs w:val="20"/>
        </w:rPr>
        <w:t>DIA</w:t>
      </w:r>
      <w:r>
        <w:rPr>
          <w:sz w:val="20"/>
          <w:szCs w:val="20"/>
        </w:rPr>
        <w:t>)</w:t>
      </w:r>
      <w:r w:rsidRPr="004F6729">
        <w:rPr>
          <w:sz w:val="20"/>
          <w:szCs w:val="20"/>
        </w:rPr>
        <w:t xml:space="preserve"> a</w:t>
      </w:r>
      <w:r>
        <w:rPr>
          <w:sz w:val="20"/>
          <w:szCs w:val="20"/>
        </w:rPr>
        <w:t>dvised</w:t>
      </w:r>
      <w:r w:rsidRPr="004F6729">
        <w:rPr>
          <w:sz w:val="20"/>
          <w:szCs w:val="20"/>
        </w:rPr>
        <w:t xml:space="preserve"> in 201</w:t>
      </w:r>
      <w:r>
        <w:rPr>
          <w:sz w:val="20"/>
          <w:szCs w:val="20"/>
        </w:rPr>
        <w:t>8</w:t>
      </w:r>
      <w:r w:rsidRPr="004F6729">
        <w:rPr>
          <w:sz w:val="20"/>
          <w:szCs w:val="20"/>
        </w:rPr>
        <w:t xml:space="preserve"> that, compared with </w:t>
      </w:r>
      <w:r>
        <w:rPr>
          <w:sz w:val="20"/>
          <w:szCs w:val="20"/>
        </w:rPr>
        <w:t xml:space="preserve">insurance-based </w:t>
      </w:r>
      <w:r w:rsidRPr="004F6729">
        <w:rPr>
          <w:sz w:val="20"/>
          <w:szCs w:val="20"/>
        </w:rPr>
        <w:t>levy models, general taxation was the easiest funding model, followed by property levies.</w:t>
      </w:r>
      <w:r>
        <w:rPr>
          <w:rStyle w:val="FootnoteReference"/>
          <w:sz w:val="20"/>
          <w:szCs w:val="20"/>
        </w:rPr>
        <w:footnoteReference w:id="2"/>
      </w:r>
      <w:r w:rsidRPr="004F6729">
        <w:rPr>
          <w:sz w:val="20"/>
          <w:szCs w:val="20"/>
        </w:rPr>
        <w:t xml:space="preserve"> </w:t>
      </w:r>
      <w:r>
        <w:rPr>
          <w:sz w:val="20"/>
          <w:szCs w:val="20"/>
        </w:rPr>
        <w:t xml:space="preserve">Both general taxation and property-based levies were assessed as fairer than insurance-based levy models. </w:t>
      </w:r>
      <w:r w:rsidRPr="004F6729">
        <w:rPr>
          <w:sz w:val="20"/>
          <w:szCs w:val="20"/>
        </w:rPr>
        <w:t xml:space="preserve">This aligns with the 2013 </w:t>
      </w:r>
      <w:r>
        <w:rPr>
          <w:sz w:val="20"/>
          <w:szCs w:val="20"/>
        </w:rPr>
        <w:t>New Zealand Institute of Economic Research (</w:t>
      </w:r>
      <w:r w:rsidRPr="004F6729">
        <w:rPr>
          <w:sz w:val="20"/>
          <w:szCs w:val="20"/>
        </w:rPr>
        <w:t>NZIER</w:t>
      </w:r>
      <w:r>
        <w:rPr>
          <w:sz w:val="20"/>
          <w:szCs w:val="20"/>
        </w:rPr>
        <w:t>)</w:t>
      </w:r>
      <w:r w:rsidRPr="004F6729">
        <w:rPr>
          <w:sz w:val="20"/>
          <w:szCs w:val="20"/>
        </w:rPr>
        <w:t xml:space="preserve"> study commissioned by ICNZ, which concluded that, starting from first principles, an insurance-based fire service levy was the weakest funding option of those considered, compared with taxpayer funding or a property levy.</w:t>
      </w:r>
      <w:r>
        <w:rPr>
          <w:rStyle w:val="FootnoteReference"/>
          <w:sz w:val="20"/>
          <w:szCs w:val="20"/>
        </w:rPr>
        <w:footnoteReference w:id="3"/>
      </w:r>
      <w:r w:rsidRPr="004F6729">
        <w:rPr>
          <w:sz w:val="20"/>
          <w:szCs w:val="20"/>
        </w:rPr>
        <w:t xml:space="preserve"> </w:t>
      </w:r>
    </w:p>
    <w:p w14:paraId="6824816A" w14:textId="30EFAA2B" w:rsidR="002D3407" w:rsidRPr="004F6729" w:rsidRDefault="002D3407" w:rsidP="002D3407">
      <w:pPr>
        <w:rPr>
          <w:sz w:val="20"/>
          <w:szCs w:val="20"/>
        </w:rPr>
      </w:pPr>
      <w:r w:rsidRPr="004F6729">
        <w:rPr>
          <w:sz w:val="20"/>
          <w:szCs w:val="20"/>
        </w:rPr>
        <w:t>A 2019 review of the funding model identified that FENZ itself had reservations about the insurance-based funding option, including because it would charge lev</w:t>
      </w:r>
      <w:r>
        <w:rPr>
          <w:sz w:val="20"/>
          <w:szCs w:val="20"/>
        </w:rPr>
        <w:t>ies</w:t>
      </w:r>
      <w:r w:rsidRPr="004F6729">
        <w:rPr>
          <w:sz w:val="20"/>
          <w:szCs w:val="20"/>
        </w:rPr>
        <w:t xml:space="preserve"> on a narrower base of assets and would not reflect FENZ’s expanded mandate to respond to non-fire incidents.</w:t>
      </w:r>
      <w:r>
        <w:rPr>
          <w:rStyle w:val="FootnoteReference"/>
          <w:sz w:val="20"/>
          <w:szCs w:val="20"/>
        </w:rPr>
        <w:footnoteReference w:id="4"/>
      </w:r>
      <w:r w:rsidRPr="004F6729">
        <w:rPr>
          <w:sz w:val="20"/>
          <w:szCs w:val="20"/>
        </w:rPr>
        <w:t xml:space="preserve"> DIA has also previously received consistent feedback that there should be increased Crown funding </w:t>
      </w:r>
      <w:r w:rsidRPr="004F6729">
        <w:rPr>
          <w:sz w:val="20"/>
          <w:szCs w:val="20"/>
        </w:rPr>
        <w:lastRenderedPageBreak/>
        <w:t>for</w:t>
      </w:r>
      <w:r>
        <w:rPr>
          <w:sz w:val="20"/>
          <w:szCs w:val="20"/>
        </w:rPr>
        <w:t xml:space="preserve"> FENZ</w:t>
      </w:r>
      <w:r w:rsidRPr="004F6729">
        <w:rPr>
          <w:sz w:val="20"/>
          <w:szCs w:val="20"/>
        </w:rPr>
        <w:t>, with submitters pointing to the significant public</w:t>
      </w:r>
      <w:r w:rsidR="0017014C">
        <w:rPr>
          <w:sz w:val="20"/>
          <w:szCs w:val="20"/>
        </w:rPr>
        <w:t xml:space="preserve"> </w:t>
      </w:r>
      <w:r w:rsidRPr="004F6729">
        <w:rPr>
          <w:sz w:val="20"/>
          <w:szCs w:val="20"/>
        </w:rPr>
        <w:t>good value provided by FENZ and the free-rider issue created.</w:t>
      </w:r>
      <w:r>
        <w:rPr>
          <w:rStyle w:val="FootnoteReference"/>
          <w:sz w:val="20"/>
          <w:szCs w:val="20"/>
        </w:rPr>
        <w:footnoteReference w:id="5"/>
      </w:r>
    </w:p>
    <w:p w14:paraId="5B85B658" w14:textId="77777777" w:rsidR="002D3407" w:rsidRPr="004F6729" w:rsidRDefault="002D3407" w:rsidP="002D3407">
      <w:pPr>
        <w:rPr>
          <w:sz w:val="20"/>
          <w:szCs w:val="20"/>
        </w:rPr>
      </w:pPr>
      <w:r w:rsidRPr="004F6729">
        <w:rPr>
          <w:sz w:val="20"/>
          <w:szCs w:val="20"/>
        </w:rPr>
        <w:t xml:space="preserve">NZIER </w:t>
      </w:r>
      <w:r>
        <w:rPr>
          <w:sz w:val="20"/>
          <w:szCs w:val="20"/>
        </w:rPr>
        <w:t xml:space="preserve">has </w:t>
      </w:r>
      <w:r w:rsidRPr="004F6729">
        <w:rPr>
          <w:sz w:val="20"/>
          <w:szCs w:val="20"/>
        </w:rPr>
        <w:t>also considered how a local government rates-based levy could be applied.</w:t>
      </w:r>
      <w:r>
        <w:rPr>
          <w:rStyle w:val="FootnoteReference"/>
          <w:sz w:val="20"/>
          <w:szCs w:val="20"/>
        </w:rPr>
        <w:footnoteReference w:id="6"/>
      </w:r>
      <w:r w:rsidRPr="004F6729">
        <w:rPr>
          <w:sz w:val="20"/>
          <w:szCs w:val="20"/>
        </w:rPr>
        <w:t xml:space="preserve"> While FENZ’s levy design, rates and budget have changed since that work was undertaken, much of the analysis remains relevant. In particular, it supports the view that a property-based levy, while requiring design work, would be superior to an insurance-based levy and capable of implementation.</w:t>
      </w:r>
      <w:r>
        <w:rPr>
          <w:sz w:val="20"/>
          <w:szCs w:val="20"/>
        </w:rPr>
        <w:t xml:space="preserve"> As discussed further below, property-based levies, whether collected alongside rates or separately, are the predominant funding model for fire services in Australia.</w:t>
      </w:r>
    </w:p>
    <w:p w14:paraId="33B12AF5" w14:textId="77777777" w:rsidR="002D3407" w:rsidRDefault="002D3407" w:rsidP="002D3407">
      <w:pPr>
        <w:rPr>
          <w:sz w:val="20"/>
          <w:szCs w:val="20"/>
        </w:rPr>
      </w:pPr>
      <w:r w:rsidRPr="004F6729">
        <w:rPr>
          <w:sz w:val="20"/>
          <w:szCs w:val="20"/>
        </w:rPr>
        <w:t xml:space="preserve">ICNZ recognises that any alternative model would require careful design, including decisions about the appropriate levy base, caps, concessions, Crown contributions and treatment of particular asset classes. However, the pursuit of a perfect model should not prevent progress toward a fairer, broader and more sustainable approach. </w:t>
      </w:r>
      <w:r>
        <w:rPr>
          <w:sz w:val="20"/>
          <w:szCs w:val="20"/>
        </w:rPr>
        <w:t xml:space="preserve">We note in this submission some very significant anomalies with the current model, most notably between levy payers and non-levy payers but also across levy payers. </w:t>
      </w:r>
      <w:r w:rsidRPr="004F6729">
        <w:rPr>
          <w:sz w:val="20"/>
          <w:szCs w:val="20"/>
        </w:rPr>
        <w:t>The current insurance-based model is narrow, distortionary and increasingly difficult to justify as the principal funding source for a modern emergency service.</w:t>
      </w:r>
    </w:p>
    <w:p w14:paraId="2EC9BC71" w14:textId="7F02CFC8" w:rsidR="002D3407" w:rsidRPr="004F6729" w:rsidRDefault="002D3407" w:rsidP="002D3407">
      <w:pPr>
        <w:rPr>
          <w:sz w:val="20"/>
          <w:szCs w:val="20"/>
        </w:rPr>
      </w:pPr>
      <w:r w:rsidRPr="00505FF5">
        <w:rPr>
          <w:sz w:val="20"/>
          <w:szCs w:val="20"/>
        </w:rPr>
        <w:t>We therefore consider that FENZ</w:t>
      </w:r>
      <w:r w:rsidRPr="004F6729">
        <w:rPr>
          <w:sz w:val="20"/>
          <w:szCs w:val="20"/>
        </w:rPr>
        <w:t xml:space="preserve"> </w:t>
      </w:r>
      <w:r>
        <w:rPr>
          <w:sz w:val="20"/>
          <w:szCs w:val="20"/>
        </w:rPr>
        <w:t>c</w:t>
      </w:r>
      <w:r w:rsidRPr="004F6729">
        <w:rPr>
          <w:sz w:val="20"/>
          <w:szCs w:val="20"/>
        </w:rPr>
        <w:t>ould be funded through central taxation, reflecting the public</w:t>
      </w:r>
      <w:r w:rsidR="0017014C">
        <w:rPr>
          <w:sz w:val="20"/>
          <w:szCs w:val="20"/>
        </w:rPr>
        <w:t xml:space="preserve"> </w:t>
      </w:r>
      <w:r w:rsidRPr="004F6729">
        <w:rPr>
          <w:sz w:val="20"/>
          <w:szCs w:val="20"/>
        </w:rPr>
        <w:t xml:space="preserve">good nature of the service and ensuring the broadest possible funding base. If the Government is not prepared to fund FENZ wholly through taxation, ICNZ considers that a materially better alternative </w:t>
      </w:r>
      <w:r>
        <w:rPr>
          <w:sz w:val="20"/>
          <w:szCs w:val="20"/>
        </w:rPr>
        <w:t xml:space="preserve">to the current model </w:t>
      </w:r>
      <w:r w:rsidRPr="004F6729">
        <w:rPr>
          <w:sz w:val="20"/>
          <w:szCs w:val="20"/>
        </w:rPr>
        <w:t>would be a combination of property-based and motor vehicle-based contributions. Motor vehicle-related emergency response could be funded through vehicle registration, because all registered vehicles create potential demand for emergency response, not just insured vehicles. Property-related contributions could be collected through council rates or another property-based mechanism, because all property owners benefit from emergency services and community protection, regardless of insurance status.</w:t>
      </w:r>
    </w:p>
    <w:p w14:paraId="0C4F00D0" w14:textId="77777777" w:rsidR="002D3407" w:rsidRPr="00A110E2" w:rsidRDefault="002D3407" w:rsidP="00BA13CE">
      <w:pPr>
        <w:pStyle w:val="Heading2"/>
        <w:spacing w:before="160" w:after="80"/>
        <w:rPr>
          <w:rFonts w:cstheme="minorBidi"/>
          <w:b/>
          <w:bCs/>
          <w:color w:val="000000" w:themeColor="text1"/>
          <w:sz w:val="20"/>
          <w:szCs w:val="20"/>
        </w:rPr>
      </w:pPr>
      <w:r w:rsidRPr="00A110E2">
        <w:rPr>
          <w:rFonts w:ascii="PP Mori" w:hAnsi="PP Mori" w:cstheme="minorBidi"/>
          <w:b/>
          <w:bCs/>
          <w:color w:val="000000" w:themeColor="text1"/>
          <w:sz w:val="20"/>
          <w:szCs w:val="20"/>
        </w:rPr>
        <w:t xml:space="preserve">3. </w:t>
      </w:r>
      <w:r>
        <w:rPr>
          <w:rFonts w:ascii="PP Mori" w:hAnsi="PP Mori" w:cstheme="minorBidi"/>
          <w:b/>
          <w:bCs/>
          <w:color w:val="000000" w:themeColor="text1"/>
          <w:sz w:val="20"/>
          <w:szCs w:val="20"/>
        </w:rPr>
        <w:t>FENZ levy adversely impacts i</w:t>
      </w:r>
      <w:r w:rsidRPr="00A110E2">
        <w:rPr>
          <w:rFonts w:ascii="PP Mori" w:hAnsi="PP Mori" w:cstheme="minorBidi"/>
          <w:b/>
          <w:bCs/>
          <w:color w:val="000000" w:themeColor="text1"/>
          <w:sz w:val="20"/>
          <w:szCs w:val="20"/>
        </w:rPr>
        <w:t xml:space="preserve">nsurance affordability and </w:t>
      </w:r>
      <w:r>
        <w:rPr>
          <w:rFonts w:ascii="PP Mori" w:hAnsi="PP Mori" w:cstheme="minorBidi"/>
          <w:b/>
          <w:bCs/>
          <w:color w:val="000000" w:themeColor="text1"/>
          <w:sz w:val="20"/>
          <w:szCs w:val="20"/>
        </w:rPr>
        <w:t xml:space="preserve">risks increasing </w:t>
      </w:r>
      <w:r w:rsidRPr="00A110E2">
        <w:rPr>
          <w:rFonts w:ascii="PP Mori" w:hAnsi="PP Mori" w:cstheme="minorBidi"/>
          <w:b/>
          <w:bCs/>
          <w:color w:val="000000" w:themeColor="text1"/>
          <w:sz w:val="20"/>
          <w:szCs w:val="20"/>
        </w:rPr>
        <w:t xml:space="preserve">underinsurance </w:t>
      </w:r>
    </w:p>
    <w:p w14:paraId="4DDEE329" w14:textId="77777777" w:rsidR="002D3407" w:rsidRPr="00CE7E92" w:rsidRDefault="002D3407" w:rsidP="002D3407">
      <w:pPr>
        <w:rPr>
          <w:sz w:val="20"/>
          <w:szCs w:val="20"/>
        </w:rPr>
      </w:pPr>
      <w:r w:rsidRPr="00A110E2">
        <w:rPr>
          <w:sz w:val="20"/>
          <w:szCs w:val="20"/>
        </w:rPr>
        <w:t>Insurance premiums reflect a range of cost drivers, including expected claims costs, reinsurance, capital requirements, construction cost inflation, operating costs, and government taxes and levies. Government</w:t>
      </w:r>
      <w:r>
        <w:rPr>
          <w:sz w:val="20"/>
          <w:szCs w:val="20"/>
        </w:rPr>
        <w:t xml:space="preserve"> </w:t>
      </w:r>
      <w:r w:rsidRPr="00A110E2">
        <w:rPr>
          <w:sz w:val="20"/>
          <w:szCs w:val="20"/>
        </w:rPr>
        <w:t xml:space="preserve">imposed charges are outside insurers’ control and are passed through to customers. The FENZ levy is therefore not a neutral collection mechanism; it increases the cost of insurance and may affect consumer decisions about whether to maintain </w:t>
      </w:r>
      <w:r>
        <w:rPr>
          <w:sz w:val="20"/>
          <w:szCs w:val="20"/>
        </w:rPr>
        <w:t xml:space="preserve">insurance </w:t>
      </w:r>
      <w:r w:rsidRPr="00A110E2">
        <w:rPr>
          <w:sz w:val="20"/>
          <w:szCs w:val="20"/>
        </w:rPr>
        <w:t>cover</w:t>
      </w:r>
      <w:r>
        <w:rPr>
          <w:sz w:val="20"/>
          <w:szCs w:val="20"/>
        </w:rPr>
        <w:t>, and to what extent (</w:t>
      </w:r>
      <w:r w:rsidRPr="00740C63">
        <w:rPr>
          <w:sz w:val="20"/>
          <w:szCs w:val="20"/>
        </w:rPr>
        <w:t>i.e.,</w:t>
      </w:r>
      <w:r>
        <w:rPr>
          <w:sz w:val="20"/>
          <w:szCs w:val="20"/>
        </w:rPr>
        <w:t xml:space="preserve"> by increasing excesses or reducing cover to reduce insurance cost)</w:t>
      </w:r>
      <w:r w:rsidRPr="00A110E2">
        <w:rPr>
          <w:sz w:val="20"/>
          <w:szCs w:val="20"/>
        </w:rPr>
        <w:t>.</w:t>
      </w:r>
    </w:p>
    <w:p w14:paraId="7ABD6D30" w14:textId="77777777" w:rsidR="002D3407" w:rsidRDefault="002D3407" w:rsidP="002D3407">
      <w:pPr>
        <w:rPr>
          <w:sz w:val="20"/>
          <w:szCs w:val="20"/>
        </w:rPr>
      </w:pPr>
      <w:r>
        <w:rPr>
          <w:sz w:val="20"/>
          <w:szCs w:val="20"/>
        </w:rPr>
        <w:t>Government levies and taxes materially affect the affordability of residential insurance. They make up around 40% of a typical home insurance premium, with the FENZ levy alone accounting for around 5%.</w:t>
      </w:r>
    </w:p>
    <w:p w14:paraId="5012CDB6" w14:textId="77777777" w:rsidR="002D3407" w:rsidRDefault="002D3407" w:rsidP="002D3407">
      <w:pPr>
        <w:rPr>
          <w:sz w:val="20"/>
          <w:szCs w:val="20"/>
        </w:rPr>
      </w:pPr>
      <w:r>
        <w:rPr>
          <w:sz w:val="20"/>
          <w:szCs w:val="20"/>
        </w:rPr>
        <w:t xml:space="preserve">The impact is not confined to home insurance. Across the relevant insurance classes, the FENZ levy equates to around 9% of insurance premiums, and for some insurance policies the percentage will be substantially higher. This makes the levy a material cost for insurance </w:t>
      </w:r>
      <w:r>
        <w:rPr>
          <w:sz w:val="20"/>
          <w:szCs w:val="20"/>
        </w:rPr>
        <w:lastRenderedPageBreak/>
        <w:t>customers and reinforces the need to consider whether insurance remains an appropriate funding base for FENZ.</w:t>
      </w:r>
    </w:p>
    <w:p w14:paraId="7C6AA1F2" w14:textId="77777777" w:rsidR="002D3407" w:rsidRDefault="002D3407" w:rsidP="002D3407">
      <w:pPr>
        <w:rPr>
          <w:sz w:val="20"/>
          <w:szCs w:val="20"/>
        </w:rPr>
      </w:pPr>
      <w:r w:rsidRPr="00A110E2">
        <w:rPr>
          <w:sz w:val="20"/>
          <w:szCs w:val="20"/>
        </w:rPr>
        <w:t xml:space="preserve">This </w:t>
      </w:r>
      <w:r>
        <w:rPr>
          <w:sz w:val="20"/>
          <w:szCs w:val="20"/>
        </w:rPr>
        <w:t xml:space="preserve">is important </w:t>
      </w:r>
      <w:r w:rsidRPr="00A110E2">
        <w:rPr>
          <w:sz w:val="20"/>
          <w:szCs w:val="20"/>
        </w:rPr>
        <w:t xml:space="preserve">because </w:t>
      </w:r>
      <w:r>
        <w:rPr>
          <w:sz w:val="20"/>
          <w:szCs w:val="20"/>
        </w:rPr>
        <w:t xml:space="preserve">insurance helps protect New Zealanders against unexpected events and uncertainty and plays a critical </w:t>
      </w:r>
      <w:r w:rsidRPr="00EB64F9">
        <w:rPr>
          <w:sz w:val="20"/>
          <w:szCs w:val="20"/>
        </w:rPr>
        <w:t xml:space="preserve">part in the country’s resilience to increasing natural hazard risk. </w:t>
      </w:r>
    </w:p>
    <w:p w14:paraId="21D3B129" w14:textId="77777777" w:rsidR="002D3407" w:rsidRPr="00A110E2" w:rsidRDefault="002D3407" w:rsidP="002D3407">
      <w:pPr>
        <w:rPr>
          <w:sz w:val="20"/>
          <w:szCs w:val="20"/>
          <w:lang w:eastAsia="en-NZ"/>
        </w:rPr>
      </w:pPr>
      <w:r>
        <w:rPr>
          <w:sz w:val="20"/>
          <w:szCs w:val="20"/>
          <w:lang w:eastAsia="en-NZ"/>
        </w:rPr>
        <w:t>Continuing affordability pressures reinforce the importance of ensuring that government taxes and levies imposed through insurance premiums remain appropriate. The review provides an opportunity to reconsider whether insurance remains the most suitable funding mechanism for a service that benefits the wider community and to progress the superior alternatives that exist.</w:t>
      </w:r>
    </w:p>
    <w:p w14:paraId="51402944" w14:textId="77777777" w:rsidR="002D3407" w:rsidRPr="00A110E2" w:rsidRDefault="002D3407" w:rsidP="002D3407">
      <w:pPr>
        <w:rPr>
          <w:sz w:val="20"/>
          <w:szCs w:val="20"/>
          <w:lang w:eastAsia="en-NZ"/>
        </w:rPr>
      </w:pPr>
      <w:r>
        <w:rPr>
          <w:sz w:val="20"/>
          <w:szCs w:val="20"/>
        </w:rPr>
        <w:t>Given the rate at which FENZ’s budget has increased over recent years (from $496.3m in FY2018 to $857.9m in FY2026) and the growing pressure natural hazards are placing on insured losses and insurance pricing, continuing to rely on an insurance-based levy risks creating a self-reinforcing cycle of higher insurance costs, reduced insurance uptake and a narrower levy base. That outcome would undermine both New Zealand’s future resilience and the longer term sustainability of FENZ funding. Moving to a broader funding base would materially reduce these risks and provide a long term, sustainable solution to FENZ funding.</w:t>
      </w:r>
    </w:p>
    <w:p w14:paraId="257BF876" w14:textId="77777777" w:rsidR="002D3407" w:rsidRPr="00A110E2" w:rsidRDefault="002D3407" w:rsidP="00BA13CE">
      <w:pPr>
        <w:pStyle w:val="Heading2"/>
        <w:spacing w:before="160" w:after="80"/>
        <w:rPr>
          <w:rFonts w:cstheme="minorBidi"/>
          <w:b/>
          <w:bCs/>
          <w:color w:val="000000" w:themeColor="text1"/>
          <w:sz w:val="20"/>
          <w:szCs w:val="20"/>
        </w:rPr>
      </w:pPr>
      <w:r w:rsidRPr="00A110E2">
        <w:rPr>
          <w:rFonts w:ascii="PP Mori" w:hAnsi="PP Mori" w:cstheme="minorBidi"/>
          <w:b/>
          <w:bCs/>
          <w:color w:val="000000" w:themeColor="text1"/>
          <w:sz w:val="20"/>
          <w:szCs w:val="20"/>
        </w:rPr>
        <w:t>4. Administrative efficiency and compliance burden</w:t>
      </w:r>
    </w:p>
    <w:p w14:paraId="2BA060BD" w14:textId="55407948" w:rsidR="00CA323A" w:rsidRDefault="002D3407" w:rsidP="00CA323A">
      <w:pPr>
        <w:rPr>
          <w:sz w:val="20"/>
          <w:szCs w:val="20"/>
        </w:rPr>
      </w:pPr>
      <w:r w:rsidRPr="00A110E2">
        <w:rPr>
          <w:sz w:val="20"/>
          <w:szCs w:val="20"/>
        </w:rPr>
        <w:t xml:space="preserve">The current model imposes </w:t>
      </w:r>
      <w:r w:rsidRPr="00F0371B">
        <w:rPr>
          <w:sz w:val="20"/>
          <w:szCs w:val="20"/>
        </w:rPr>
        <w:t xml:space="preserve">significant administrative and compliance costs on insurers and brokers, who are required to collect the levy on behalf of the Crown without compensation and are exposed to penalties for errors, including inadvertent errors. </w:t>
      </w:r>
      <w:r w:rsidR="006B1397" w:rsidRPr="00F0371B">
        <w:rPr>
          <w:sz w:val="20"/>
          <w:szCs w:val="20"/>
        </w:rPr>
        <w:t xml:space="preserve">Implementation of the revised FENZ levy system required substantial insurer investment in IT and systems changes, with brokers also incurring system change costs. </w:t>
      </w:r>
      <w:r w:rsidRPr="00F0371B">
        <w:rPr>
          <w:sz w:val="20"/>
          <w:szCs w:val="20"/>
        </w:rPr>
        <w:t>These costs ultimately flow through to</w:t>
      </w:r>
      <w:r w:rsidR="00290335" w:rsidRPr="00F0371B">
        <w:rPr>
          <w:sz w:val="20"/>
          <w:szCs w:val="20"/>
        </w:rPr>
        <w:t xml:space="preserve"> customers </w:t>
      </w:r>
      <w:r w:rsidR="00CA323A" w:rsidRPr="00F0371B">
        <w:rPr>
          <w:sz w:val="20"/>
          <w:szCs w:val="20"/>
        </w:rPr>
        <w:t>and illustrate the inefficiency of relying on insurers to collect funding for a public emergency</w:t>
      </w:r>
      <w:r w:rsidR="00CA323A" w:rsidRPr="00A110E2">
        <w:rPr>
          <w:sz w:val="20"/>
          <w:szCs w:val="20"/>
        </w:rPr>
        <w:t xml:space="preserve"> service. </w:t>
      </w:r>
    </w:p>
    <w:p w14:paraId="42ABF75F" w14:textId="77777777" w:rsidR="00CA323A" w:rsidRPr="00A110E2" w:rsidRDefault="00CA323A" w:rsidP="00CA323A">
      <w:pPr>
        <w:rPr>
          <w:sz w:val="20"/>
          <w:szCs w:val="20"/>
          <w:lang w:eastAsia="en-NZ"/>
        </w:rPr>
      </w:pPr>
      <w:r>
        <w:rPr>
          <w:sz w:val="20"/>
          <w:szCs w:val="20"/>
          <w:lang w:eastAsia="en-NZ"/>
        </w:rPr>
        <w:t>In addition to the direct financial costs to insurers of collecting the levy, the need to collect it in ways and based on definitions that do not align with insurance practice can reduce insurers’ flexibility in designing and providing cover and add complexity for customers and brokers. Some of these issues have been addressed by recent levy changes but new ones have also been created. The business effort required to implement and administer the levy comes at the expense of work on efficiency, innovation and meeting the needs of customers for insurance. The need to dedicate significant staff, financial and technical resources to changes in FENZ levy design or rates (effectively continuously from mid-2023 until now due to the 2024 and 2026 levy changes) diverts resources away from innovation and improving systems.</w:t>
      </w:r>
    </w:p>
    <w:p w14:paraId="5A3DC0A4" w14:textId="77777777" w:rsidR="00CA323A" w:rsidRDefault="00CA323A" w:rsidP="00CA323A">
      <w:pPr>
        <w:rPr>
          <w:sz w:val="20"/>
          <w:szCs w:val="20"/>
        </w:rPr>
      </w:pPr>
      <w:r w:rsidRPr="00A110E2">
        <w:rPr>
          <w:sz w:val="20"/>
          <w:szCs w:val="20"/>
        </w:rPr>
        <w:t>A</w:t>
      </w:r>
      <w:r>
        <w:rPr>
          <w:sz w:val="20"/>
          <w:szCs w:val="20"/>
        </w:rPr>
        <w:t>ny</w:t>
      </w:r>
      <w:r w:rsidRPr="00A110E2">
        <w:rPr>
          <w:sz w:val="20"/>
          <w:szCs w:val="20"/>
        </w:rPr>
        <w:t xml:space="preserve"> future funding model should be simple to administer, transparent to contributors, predictable </w:t>
      </w:r>
      <w:r w:rsidRPr="00AF53EE">
        <w:rPr>
          <w:sz w:val="20"/>
          <w:szCs w:val="20"/>
        </w:rPr>
        <w:t xml:space="preserve">for FENZ, and designed to minimise unnecessary compliance and audit costs. </w:t>
      </w:r>
    </w:p>
    <w:p w14:paraId="0E143836" w14:textId="77777777" w:rsidR="00CA323A" w:rsidRPr="00A110E2" w:rsidRDefault="00CA323A" w:rsidP="00BA13CE">
      <w:pPr>
        <w:pStyle w:val="Heading2"/>
        <w:spacing w:before="160" w:after="80"/>
        <w:rPr>
          <w:rFonts w:ascii="PP Mori" w:hAnsi="PP Mori" w:cstheme="minorBidi"/>
          <w:b/>
          <w:bCs/>
          <w:color w:val="000000" w:themeColor="text1"/>
          <w:sz w:val="20"/>
          <w:szCs w:val="20"/>
        </w:rPr>
      </w:pPr>
      <w:r>
        <w:rPr>
          <w:rFonts w:ascii="PP Mori" w:hAnsi="PP Mori" w:cstheme="minorBidi"/>
          <w:b/>
          <w:bCs/>
          <w:color w:val="000000" w:themeColor="text1"/>
          <w:sz w:val="20"/>
          <w:szCs w:val="20"/>
        </w:rPr>
        <w:t>5</w:t>
      </w:r>
      <w:r w:rsidRPr="00A110E2">
        <w:rPr>
          <w:rFonts w:ascii="PP Mori" w:hAnsi="PP Mori" w:cstheme="minorBidi"/>
          <w:b/>
          <w:bCs/>
          <w:color w:val="000000" w:themeColor="text1"/>
          <w:sz w:val="20"/>
          <w:szCs w:val="20"/>
        </w:rPr>
        <w:t xml:space="preserve">. </w:t>
      </w:r>
      <w:r>
        <w:rPr>
          <w:rFonts w:ascii="PP Mori" w:hAnsi="PP Mori" w:cstheme="minorBidi"/>
          <w:b/>
          <w:bCs/>
          <w:color w:val="000000" w:themeColor="text1"/>
          <w:sz w:val="20"/>
          <w:szCs w:val="20"/>
        </w:rPr>
        <w:t>FENZ funding is out of step with overseas jurisdictions and other emergency services in New Zealand</w:t>
      </w:r>
    </w:p>
    <w:p w14:paraId="38BD20EC" w14:textId="77777777" w:rsidR="00CA323A" w:rsidRDefault="00CA323A" w:rsidP="00CA323A">
      <w:pPr>
        <w:rPr>
          <w:sz w:val="20"/>
          <w:szCs w:val="20"/>
        </w:rPr>
      </w:pPr>
      <w:r>
        <w:rPr>
          <w:sz w:val="20"/>
          <w:szCs w:val="20"/>
        </w:rPr>
        <w:t>Funding FENZ almost entirely from a levy on certain insurance policies is out of step with international approaches in comparable jurisdictions.</w:t>
      </w:r>
    </w:p>
    <w:p w14:paraId="4AA4C524" w14:textId="77777777" w:rsidR="00CA323A" w:rsidRDefault="00CA323A" w:rsidP="00CA323A">
      <w:pPr>
        <w:rPr>
          <w:sz w:val="20"/>
          <w:szCs w:val="20"/>
        </w:rPr>
      </w:pPr>
      <w:r>
        <w:rPr>
          <w:sz w:val="20"/>
          <w:szCs w:val="20"/>
        </w:rPr>
        <w:lastRenderedPageBreak/>
        <w:t xml:space="preserve">Almost all Australian states have moved away from funding fire and emergency services from insurance-based levies, with New South Wales currently consulting on removing its insurance-based levy funding. </w:t>
      </w:r>
    </w:p>
    <w:p w14:paraId="2E2BD3E4" w14:textId="77777777" w:rsidR="00CA323A" w:rsidRDefault="00CA323A" w:rsidP="00CA323A">
      <w:pPr>
        <w:rPr>
          <w:sz w:val="20"/>
          <w:szCs w:val="20"/>
        </w:rPr>
      </w:pPr>
      <w:r w:rsidRPr="00A110E2">
        <w:rPr>
          <w:sz w:val="20"/>
          <w:szCs w:val="20"/>
        </w:rPr>
        <w:t>Appendix 1 provides a comparative overview of how fire and emergency services are funded across selected jurisdictions, including Australian states, Singapore, Japan, South Korea, England, Scotland, Wales and Ireland. It outlines the principal funding mechanisms used in each location, explains how revenue is collected or allocated, and provides indicative annual expenditure to support comparison of levy-based, property-based, insurance-based and government-funded models.</w:t>
      </w:r>
    </w:p>
    <w:p w14:paraId="626C9530" w14:textId="77777777" w:rsidR="00CA323A" w:rsidRPr="00EB64F9" w:rsidRDefault="00CA323A" w:rsidP="00CA323A">
      <w:r>
        <w:rPr>
          <w:sz w:val="20"/>
          <w:szCs w:val="20"/>
        </w:rPr>
        <w:t>In addition, as identified in our 2020 submission,</w:t>
      </w:r>
      <w:r w:rsidRPr="00EB64F9">
        <w:rPr>
          <w:vertAlign w:val="superscript"/>
        </w:rPr>
        <w:footnoteReference w:id="7"/>
      </w:r>
      <w:r>
        <w:rPr>
          <w:sz w:val="20"/>
          <w:szCs w:val="20"/>
        </w:rPr>
        <w:t xml:space="preserve"> the government’s contribution to FENZ is significantly lower than for other emergency services, despite the significant public good and growing importance of its work. </w:t>
      </w:r>
      <w:r w:rsidRPr="00247A6F">
        <w:rPr>
          <w:sz w:val="20"/>
          <w:szCs w:val="20"/>
        </w:rPr>
        <w:t>Core policing functions are funded through Vote Police, while central emergency management functions are funded through public appropriations. Ambulance services also receive substantial public funding through health and ACC arrangements</w:t>
      </w:r>
      <w:r>
        <w:rPr>
          <w:sz w:val="20"/>
          <w:szCs w:val="20"/>
        </w:rPr>
        <w:t>. Budget 2026 also provided additional funding for road ambulance services</w:t>
      </w:r>
      <w:r w:rsidRPr="00247A6F">
        <w:rPr>
          <w:sz w:val="20"/>
          <w:szCs w:val="20"/>
        </w:rPr>
        <w:t>. By contrast, the Crown’s direct contribution to FENZ in 2026/27 is only approximately 0.9% of FENZ’s budgeted revenue</w:t>
      </w:r>
      <w:r>
        <w:rPr>
          <w:sz w:val="20"/>
          <w:szCs w:val="20"/>
        </w:rPr>
        <w:t>.</w:t>
      </w:r>
    </w:p>
    <w:p w14:paraId="7AA43796" w14:textId="77777777" w:rsidR="00CA323A" w:rsidRDefault="00CA323A" w:rsidP="00BA13CE">
      <w:pPr>
        <w:pStyle w:val="Heading2"/>
        <w:tabs>
          <w:tab w:val="left" w:pos="1140"/>
        </w:tabs>
        <w:spacing w:before="160" w:after="80"/>
        <w:rPr>
          <w:rFonts w:ascii="PP Mori" w:hAnsi="PP Mori" w:cstheme="minorBidi"/>
          <w:b/>
          <w:bCs/>
          <w:color w:val="000000" w:themeColor="text1"/>
          <w:sz w:val="20"/>
          <w:szCs w:val="20"/>
        </w:rPr>
      </w:pPr>
      <w:r>
        <w:rPr>
          <w:rFonts w:ascii="PP Mori" w:hAnsi="PP Mori" w:cstheme="minorBidi"/>
          <w:b/>
          <w:bCs/>
          <w:color w:val="000000" w:themeColor="text1"/>
          <w:sz w:val="20"/>
          <w:szCs w:val="20"/>
        </w:rPr>
        <w:t>6. Design considerations for a residential property and motor vehicle-based levy model</w:t>
      </w:r>
    </w:p>
    <w:p w14:paraId="08F57DF1" w14:textId="77777777" w:rsidR="00CA323A" w:rsidRPr="000E74DD" w:rsidRDefault="00CA323A" w:rsidP="00BA13CE">
      <w:pPr>
        <w:pStyle w:val="Heading2"/>
        <w:spacing w:before="160" w:after="80"/>
        <w:rPr>
          <w:rFonts w:ascii="PP Mori" w:hAnsi="PP Mori" w:cstheme="minorBidi"/>
          <w:i/>
          <w:iCs/>
          <w:color w:val="000000" w:themeColor="text1"/>
          <w:sz w:val="20"/>
          <w:szCs w:val="20"/>
        </w:rPr>
      </w:pPr>
      <w:r w:rsidRPr="000E74DD">
        <w:rPr>
          <w:rFonts w:ascii="PP Mori" w:hAnsi="PP Mori" w:cstheme="minorBidi"/>
          <w:i/>
          <w:iCs/>
          <w:color w:val="000000" w:themeColor="text1"/>
          <w:sz w:val="20"/>
          <w:szCs w:val="20"/>
        </w:rPr>
        <w:t>6.1 Residential property and contents</w:t>
      </w:r>
    </w:p>
    <w:p w14:paraId="4CED312F" w14:textId="77777777" w:rsidR="00CA323A" w:rsidRDefault="00CA323A" w:rsidP="00CA323A">
      <w:pPr>
        <w:rPr>
          <w:sz w:val="20"/>
          <w:szCs w:val="20"/>
        </w:rPr>
      </w:pPr>
      <w:r w:rsidRPr="00AF53EE">
        <w:rPr>
          <w:sz w:val="20"/>
          <w:szCs w:val="20"/>
        </w:rPr>
        <w:t xml:space="preserve">ICNZ </w:t>
      </w:r>
      <w:r w:rsidRPr="000E74DD">
        <w:rPr>
          <w:sz w:val="20"/>
          <w:szCs w:val="20"/>
        </w:rPr>
        <w:t>considers</w:t>
      </w:r>
      <w:r w:rsidRPr="00AF53EE">
        <w:rPr>
          <w:sz w:val="20"/>
          <w:szCs w:val="20"/>
        </w:rPr>
        <w:t xml:space="preserve"> moving the residential property component of the levy away from insurance premiums and into a broader property-based mechanism, such as council rates or a dedicated property levy</w:t>
      </w:r>
      <w:r>
        <w:rPr>
          <w:sz w:val="20"/>
          <w:szCs w:val="20"/>
        </w:rPr>
        <w:t>,</w:t>
      </w:r>
      <w:r w:rsidRPr="000E74DD">
        <w:rPr>
          <w:sz w:val="20"/>
          <w:szCs w:val="20"/>
        </w:rPr>
        <w:t xml:space="preserve"> would be superior to the current situation</w:t>
      </w:r>
      <w:r w:rsidRPr="00AF53EE">
        <w:rPr>
          <w:sz w:val="20"/>
          <w:szCs w:val="20"/>
        </w:rPr>
        <w:t>. A residential property levy could be designed with a cap or flat amount to protect affordability</w:t>
      </w:r>
      <w:r>
        <w:rPr>
          <w:sz w:val="20"/>
          <w:szCs w:val="20"/>
        </w:rPr>
        <w:t xml:space="preserve"> and make it straightforward to implement</w:t>
      </w:r>
      <w:r w:rsidRPr="00AF53EE">
        <w:rPr>
          <w:sz w:val="20"/>
          <w:szCs w:val="20"/>
        </w:rPr>
        <w:t xml:space="preserve">, while ensuring that all property owners contribute to the </w:t>
      </w:r>
      <w:r>
        <w:rPr>
          <w:sz w:val="20"/>
          <w:szCs w:val="20"/>
        </w:rPr>
        <w:t xml:space="preserve">FENZ </w:t>
      </w:r>
      <w:r w:rsidRPr="00AF53EE">
        <w:rPr>
          <w:sz w:val="20"/>
          <w:szCs w:val="20"/>
        </w:rPr>
        <w:t>services from which they benefit.</w:t>
      </w:r>
    </w:p>
    <w:p w14:paraId="4284BF7A" w14:textId="77777777" w:rsidR="00CA323A" w:rsidRPr="00CE7E92" w:rsidRDefault="00CA323A" w:rsidP="00CA323A">
      <w:pPr>
        <w:rPr>
          <w:sz w:val="20"/>
          <w:szCs w:val="20"/>
        </w:rPr>
      </w:pPr>
      <w:r w:rsidRPr="00AF53EE">
        <w:rPr>
          <w:sz w:val="20"/>
          <w:szCs w:val="20"/>
        </w:rPr>
        <w:t>The levy should be removed from home contents insurance</w:t>
      </w:r>
      <w:r w:rsidRPr="000E74DD">
        <w:rPr>
          <w:sz w:val="20"/>
          <w:szCs w:val="20"/>
        </w:rPr>
        <w:t xml:space="preserve"> and would not need to be applied under an alternative mechanism as it could be built into the levy for the underlying real property (</w:t>
      </w:r>
      <w:r w:rsidRPr="00DA6AFC">
        <w:rPr>
          <w:sz w:val="20"/>
          <w:szCs w:val="20"/>
        </w:rPr>
        <w:t>i.e.,</w:t>
      </w:r>
      <w:r w:rsidRPr="000E74DD">
        <w:rPr>
          <w:sz w:val="20"/>
          <w:szCs w:val="20"/>
        </w:rPr>
        <w:t xml:space="preserve"> the home)</w:t>
      </w:r>
      <w:r w:rsidRPr="00AF53EE">
        <w:rPr>
          <w:sz w:val="20"/>
          <w:szCs w:val="20"/>
        </w:rPr>
        <w:t xml:space="preserve">. Contents insurance is particularly sensitive to affordability pressures </w:t>
      </w:r>
      <w:r w:rsidRPr="000E74DD">
        <w:rPr>
          <w:sz w:val="20"/>
          <w:szCs w:val="20"/>
        </w:rPr>
        <w:t xml:space="preserve">(with evidence of declining uptake) </w:t>
      </w:r>
      <w:r w:rsidRPr="00AF53EE">
        <w:rPr>
          <w:sz w:val="20"/>
          <w:szCs w:val="20"/>
        </w:rPr>
        <w:t>and is not an appropriate base for funding a broad public emergency service. If a contribution associated with household contents is considered necessary, it should be incorporated into a simple property-based charge rather than collected through contents insurance policies.</w:t>
      </w:r>
    </w:p>
    <w:p w14:paraId="79B27845" w14:textId="77777777" w:rsidR="00CA323A" w:rsidRPr="00CE7E92" w:rsidRDefault="00CA323A" w:rsidP="00CA323A">
      <w:pPr>
        <w:rPr>
          <w:sz w:val="20"/>
          <w:szCs w:val="20"/>
        </w:rPr>
      </w:pPr>
      <w:r>
        <w:rPr>
          <w:sz w:val="20"/>
          <w:szCs w:val="20"/>
        </w:rPr>
        <w:t>We recognise there would be a need to consider the application of the levy to mixed-use buildings (</w:t>
      </w:r>
      <w:r w:rsidRPr="00714937">
        <w:rPr>
          <w:sz w:val="20"/>
          <w:szCs w:val="20"/>
        </w:rPr>
        <w:t>e.g.,</w:t>
      </w:r>
      <w:r>
        <w:rPr>
          <w:sz w:val="20"/>
          <w:szCs w:val="20"/>
        </w:rPr>
        <w:t xml:space="preserve"> apartment buildings that also have commercial units or shops). However, this is already a complex situation under the insurance-based levy.</w:t>
      </w:r>
    </w:p>
    <w:p w14:paraId="4EBCDDCF" w14:textId="77777777" w:rsidR="00CA323A" w:rsidRPr="00AF53EE" w:rsidRDefault="00CA323A" w:rsidP="00CA323A">
      <w:pPr>
        <w:rPr>
          <w:sz w:val="20"/>
          <w:szCs w:val="20"/>
          <w:lang w:eastAsia="en-NZ"/>
        </w:rPr>
      </w:pPr>
      <w:r>
        <w:rPr>
          <w:sz w:val="20"/>
          <w:szCs w:val="20"/>
        </w:rPr>
        <w:t xml:space="preserve">We also recognise that, if a property levy collected through council rates is preferred, local government is currently subject to a range of competing priorities and uncertainty associated </w:t>
      </w:r>
      <w:r>
        <w:rPr>
          <w:sz w:val="20"/>
          <w:szCs w:val="20"/>
        </w:rPr>
        <w:lastRenderedPageBreak/>
        <w:t>with potential structural change. However, over the medium term, consolidation of local government could materially reduce the number of entities and systems required to administer a property-based levy, thereby reducing the transition impacts.</w:t>
      </w:r>
    </w:p>
    <w:p w14:paraId="58A7F56D" w14:textId="77777777" w:rsidR="00ED5483" w:rsidRPr="00CE1565" w:rsidRDefault="004B3CFB">
      <w:pPr>
        <w:pStyle w:val="Heading2"/>
        <w:spacing w:before="160" w:after="80"/>
        <w:rPr>
          <w:rFonts w:ascii="PP Mori" w:hAnsi="PP Mori" w:cstheme="minorBidi"/>
          <w:i/>
          <w:iCs/>
          <w:color w:val="000000" w:themeColor="text1"/>
          <w:sz w:val="20"/>
          <w:szCs w:val="20"/>
        </w:rPr>
      </w:pPr>
      <w:r w:rsidRPr="00CE1565">
        <w:rPr>
          <w:rFonts w:ascii="PP Mori" w:hAnsi="PP Mori" w:cstheme="minorBidi"/>
          <w:i/>
          <w:iCs/>
          <w:color w:val="000000" w:themeColor="text1"/>
          <w:sz w:val="20"/>
          <w:szCs w:val="20"/>
        </w:rPr>
        <w:t>6.2 Commercial property, stock, plant and machinery</w:t>
      </w:r>
    </w:p>
    <w:p w14:paraId="243CBA45" w14:textId="77777777" w:rsidR="00CA323A" w:rsidRDefault="00CA323A" w:rsidP="00CA323A">
      <w:pPr>
        <w:rPr>
          <w:sz w:val="20"/>
          <w:szCs w:val="20"/>
        </w:rPr>
      </w:pPr>
      <w:r w:rsidRPr="00A110E2">
        <w:rPr>
          <w:sz w:val="20"/>
          <w:szCs w:val="20"/>
        </w:rPr>
        <w:t xml:space="preserve">Commercial property is currently subject to levy arrangements that </w:t>
      </w:r>
      <w:r>
        <w:rPr>
          <w:sz w:val="20"/>
          <w:szCs w:val="20"/>
        </w:rPr>
        <w:t xml:space="preserve">are </w:t>
      </w:r>
      <w:r w:rsidRPr="00A110E2">
        <w:rPr>
          <w:sz w:val="20"/>
          <w:szCs w:val="20"/>
        </w:rPr>
        <w:t xml:space="preserve">complex and </w:t>
      </w:r>
      <w:r>
        <w:rPr>
          <w:sz w:val="20"/>
          <w:szCs w:val="20"/>
        </w:rPr>
        <w:t xml:space="preserve">can be </w:t>
      </w:r>
      <w:r w:rsidRPr="00A110E2">
        <w:rPr>
          <w:sz w:val="20"/>
          <w:szCs w:val="20"/>
        </w:rPr>
        <w:t xml:space="preserve">uneven. </w:t>
      </w:r>
      <w:r>
        <w:rPr>
          <w:sz w:val="20"/>
          <w:szCs w:val="20"/>
        </w:rPr>
        <w:t>These arrangements are unfair as similar properties can face materially different levy rates, and there is no connection to fire risk.</w:t>
      </w:r>
    </w:p>
    <w:p w14:paraId="48C2A47C" w14:textId="77777777" w:rsidR="00CA323A" w:rsidRPr="00A110E2" w:rsidRDefault="00CA323A" w:rsidP="00CA323A">
      <w:pPr>
        <w:rPr>
          <w:sz w:val="20"/>
          <w:szCs w:val="20"/>
          <w:lang w:eastAsia="en-NZ"/>
        </w:rPr>
      </w:pPr>
      <w:r>
        <w:rPr>
          <w:sz w:val="20"/>
          <w:szCs w:val="20"/>
        </w:rPr>
        <w:t>For example, s</w:t>
      </w:r>
      <w:r w:rsidRPr="00A110E2">
        <w:rPr>
          <w:sz w:val="20"/>
          <w:szCs w:val="20"/>
        </w:rPr>
        <w:t>ome businesses may insure on a first-loss basis, while others may insure</w:t>
      </w:r>
      <w:r>
        <w:rPr>
          <w:sz w:val="20"/>
          <w:szCs w:val="20"/>
        </w:rPr>
        <w:t xml:space="preserve"> each property for its</w:t>
      </w:r>
      <w:r w:rsidRPr="00A110E2">
        <w:rPr>
          <w:sz w:val="20"/>
          <w:szCs w:val="20"/>
        </w:rPr>
        <w:t xml:space="preserve"> full value. The resulting levy burden can therefore differ</w:t>
      </w:r>
      <w:r>
        <w:rPr>
          <w:sz w:val="20"/>
          <w:szCs w:val="20"/>
        </w:rPr>
        <w:t xml:space="preserve"> significantly, in some cases more than tenfold, </w:t>
      </w:r>
      <w:r w:rsidRPr="00A110E2">
        <w:rPr>
          <w:sz w:val="20"/>
          <w:szCs w:val="20"/>
        </w:rPr>
        <w:t xml:space="preserve">even where the underlying property </w:t>
      </w:r>
      <w:r>
        <w:rPr>
          <w:sz w:val="20"/>
          <w:szCs w:val="20"/>
        </w:rPr>
        <w:t xml:space="preserve">value </w:t>
      </w:r>
      <w:r w:rsidRPr="00A110E2">
        <w:rPr>
          <w:sz w:val="20"/>
          <w:szCs w:val="20"/>
        </w:rPr>
        <w:t>or service benefit is similar.</w:t>
      </w:r>
    </w:p>
    <w:p w14:paraId="6E2D0475" w14:textId="77777777" w:rsidR="00CA323A" w:rsidRPr="006F0778" w:rsidRDefault="00CA323A" w:rsidP="00CA323A">
      <w:pPr>
        <w:rPr>
          <w:sz w:val="20"/>
          <w:szCs w:val="20"/>
        </w:rPr>
      </w:pPr>
      <w:r w:rsidRPr="00A110E2">
        <w:rPr>
          <w:sz w:val="20"/>
          <w:szCs w:val="20"/>
        </w:rPr>
        <w:t xml:space="preserve">ICNZ supports moving </w:t>
      </w:r>
      <w:r>
        <w:rPr>
          <w:sz w:val="20"/>
          <w:szCs w:val="20"/>
        </w:rPr>
        <w:t>any</w:t>
      </w:r>
      <w:r w:rsidRPr="00A110E2">
        <w:rPr>
          <w:sz w:val="20"/>
          <w:szCs w:val="20"/>
        </w:rPr>
        <w:t xml:space="preserve"> commercial property component</w:t>
      </w:r>
      <w:r>
        <w:rPr>
          <w:sz w:val="20"/>
          <w:szCs w:val="20"/>
        </w:rPr>
        <w:t xml:space="preserve"> from insurance</w:t>
      </w:r>
      <w:r w:rsidRPr="00A110E2">
        <w:rPr>
          <w:sz w:val="20"/>
          <w:szCs w:val="20"/>
        </w:rPr>
        <w:t xml:space="preserve"> to a property-based mechanism using capital value or improvement value, with further design work</w:t>
      </w:r>
      <w:r>
        <w:rPr>
          <w:sz w:val="20"/>
          <w:szCs w:val="20"/>
        </w:rPr>
        <w:t xml:space="preserve"> necessary</w:t>
      </w:r>
      <w:r w:rsidRPr="00A110E2">
        <w:rPr>
          <w:sz w:val="20"/>
          <w:szCs w:val="20"/>
        </w:rPr>
        <w:t xml:space="preserve"> to ensure</w:t>
      </w:r>
      <w:r>
        <w:rPr>
          <w:sz w:val="20"/>
          <w:szCs w:val="20"/>
        </w:rPr>
        <w:t xml:space="preserve"> </w:t>
      </w:r>
      <w:r w:rsidRPr="006F0778">
        <w:rPr>
          <w:sz w:val="20"/>
          <w:szCs w:val="20"/>
        </w:rPr>
        <w:t xml:space="preserve">workability and fairness across property types. </w:t>
      </w:r>
    </w:p>
    <w:p w14:paraId="5010ED6C" w14:textId="77777777" w:rsidR="00CA323A" w:rsidRPr="00A110E2" w:rsidRDefault="00CA323A" w:rsidP="00CA323A">
      <w:pPr>
        <w:rPr>
          <w:sz w:val="20"/>
          <w:szCs w:val="20"/>
          <w:lang w:eastAsia="en-NZ"/>
        </w:rPr>
      </w:pPr>
      <w:r w:rsidRPr="00EB64F9">
        <w:rPr>
          <w:sz w:val="20"/>
          <w:szCs w:val="20"/>
        </w:rPr>
        <w:t xml:space="preserve">The insurance levy on </w:t>
      </w:r>
      <w:r>
        <w:rPr>
          <w:sz w:val="20"/>
          <w:szCs w:val="20"/>
        </w:rPr>
        <w:t xml:space="preserve">business contents, stock, plant and machinery </w:t>
      </w:r>
      <w:r w:rsidRPr="00EB64F9">
        <w:rPr>
          <w:sz w:val="20"/>
          <w:szCs w:val="20"/>
        </w:rPr>
        <w:t xml:space="preserve">should </w:t>
      </w:r>
      <w:r>
        <w:rPr>
          <w:sz w:val="20"/>
          <w:szCs w:val="20"/>
        </w:rPr>
        <w:t xml:space="preserve">also </w:t>
      </w:r>
      <w:r w:rsidRPr="00EB64F9">
        <w:rPr>
          <w:sz w:val="20"/>
          <w:szCs w:val="20"/>
        </w:rPr>
        <w:t xml:space="preserve">be removed because </w:t>
      </w:r>
      <w:r>
        <w:rPr>
          <w:sz w:val="20"/>
          <w:szCs w:val="20"/>
        </w:rPr>
        <w:t>these</w:t>
      </w:r>
      <w:r w:rsidRPr="00EB64F9">
        <w:rPr>
          <w:sz w:val="20"/>
          <w:szCs w:val="20"/>
        </w:rPr>
        <w:t xml:space="preserve"> classes are not an appropriate or stable base for funding a public emergency service</w:t>
      </w:r>
      <w:r>
        <w:rPr>
          <w:sz w:val="20"/>
          <w:szCs w:val="20"/>
        </w:rPr>
        <w:t>.</w:t>
      </w:r>
      <w:r w:rsidRPr="00EB64F9">
        <w:rPr>
          <w:sz w:val="20"/>
          <w:szCs w:val="20"/>
        </w:rPr>
        <w:t xml:space="preserve"> </w:t>
      </w:r>
      <w:r>
        <w:rPr>
          <w:sz w:val="20"/>
          <w:szCs w:val="20"/>
        </w:rPr>
        <w:t xml:space="preserve">Levies on these classes </w:t>
      </w:r>
      <w:r w:rsidRPr="00EB64F9">
        <w:rPr>
          <w:sz w:val="20"/>
          <w:szCs w:val="20"/>
        </w:rPr>
        <w:t>can create administrative complexity and avoidance incentives</w:t>
      </w:r>
      <w:r>
        <w:rPr>
          <w:sz w:val="20"/>
          <w:szCs w:val="20"/>
        </w:rPr>
        <w:t>, as well as making this insurance less affordable</w:t>
      </w:r>
      <w:r w:rsidRPr="00EB64F9">
        <w:rPr>
          <w:sz w:val="20"/>
          <w:szCs w:val="20"/>
        </w:rPr>
        <w:t>.</w:t>
      </w:r>
    </w:p>
    <w:p w14:paraId="347117E2" w14:textId="60F57A7B" w:rsidR="00CA323A" w:rsidRDefault="00CA323A" w:rsidP="00BA13CE">
      <w:pPr>
        <w:pStyle w:val="Heading2"/>
        <w:spacing w:before="160" w:after="80"/>
        <w:rPr>
          <w:rFonts w:ascii="PP Mori" w:hAnsi="PP Mori" w:cstheme="minorBidi"/>
          <w:i/>
          <w:iCs/>
          <w:color w:val="000000" w:themeColor="text1"/>
          <w:sz w:val="20"/>
          <w:szCs w:val="20"/>
        </w:rPr>
      </w:pPr>
      <w:r w:rsidRPr="000E74DD">
        <w:rPr>
          <w:rFonts w:ascii="PP Mori" w:hAnsi="PP Mori" w:cstheme="minorBidi"/>
          <w:i/>
          <w:iCs/>
          <w:color w:val="000000" w:themeColor="text1"/>
          <w:sz w:val="20"/>
          <w:szCs w:val="20"/>
        </w:rPr>
        <w:t>6.3</w:t>
      </w:r>
      <w:r w:rsidRPr="003C15F3">
        <w:rPr>
          <w:rFonts w:ascii="PP Mori" w:hAnsi="PP Mori" w:cstheme="minorBidi"/>
          <w:i/>
          <w:iCs/>
          <w:color w:val="000000" w:themeColor="text1"/>
          <w:sz w:val="20"/>
          <w:szCs w:val="20"/>
        </w:rPr>
        <w:t xml:space="preserve"> Motor vehicles</w:t>
      </w:r>
    </w:p>
    <w:p w14:paraId="71AE1629" w14:textId="77777777" w:rsidR="00CA323A" w:rsidRPr="000E74DD" w:rsidRDefault="00CA323A" w:rsidP="00CA323A">
      <w:pPr>
        <w:rPr>
          <w:bCs/>
          <w:sz w:val="20"/>
          <w:szCs w:val="20"/>
        </w:rPr>
      </w:pPr>
      <w:r w:rsidRPr="000E74DD">
        <w:rPr>
          <w:sz w:val="20"/>
          <w:szCs w:val="20"/>
        </w:rPr>
        <w:t>We note the 1 July 2026 changes to the FENZ levy moved all vehicles to a single rate and included third party policies. These changes have simplified the application of the levy in some respects</w:t>
      </w:r>
      <w:r>
        <w:rPr>
          <w:sz w:val="20"/>
          <w:szCs w:val="20"/>
        </w:rPr>
        <w:t>,</w:t>
      </w:r>
      <w:r w:rsidRPr="000E74DD">
        <w:rPr>
          <w:sz w:val="20"/>
          <w:szCs w:val="20"/>
        </w:rPr>
        <w:t xml:space="preserve"> but the changes have maintained or exacerbated a number of drawbacks with an insurance-based levy. These include not aligning with insurance policies based on the value of vehicles (e</w:t>
      </w:r>
      <w:r>
        <w:rPr>
          <w:sz w:val="20"/>
          <w:szCs w:val="20"/>
        </w:rPr>
        <w:t>.</w:t>
      </w:r>
      <w:r w:rsidRPr="000E74DD">
        <w:rPr>
          <w:sz w:val="20"/>
          <w:szCs w:val="20"/>
        </w:rPr>
        <w:t>g</w:t>
      </w:r>
      <w:r>
        <w:rPr>
          <w:sz w:val="20"/>
          <w:szCs w:val="20"/>
        </w:rPr>
        <w:t>.</w:t>
      </w:r>
      <w:r w:rsidRPr="000E74DD">
        <w:rPr>
          <w:sz w:val="20"/>
          <w:szCs w:val="20"/>
        </w:rPr>
        <w:t xml:space="preserve">, vehicle stock) as opposed to insuring specific vehicles, and fairness questions </w:t>
      </w:r>
      <w:r>
        <w:rPr>
          <w:sz w:val="20"/>
          <w:szCs w:val="20"/>
        </w:rPr>
        <w:t>associated with</w:t>
      </w:r>
      <w:r w:rsidRPr="000E74DD">
        <w:rPr>
          <w:sz w:val="20"/>
          <w:szCs w:val="20"/>
        </w:rPr>
        <w:t xml:space="preserve"> applying the same levy rates to assets with materially different risk profiles. </w:t>
      </w:r>
    </w:p>
    <w:p w14:paraId="3E9513A9" w14:textId="3B05EE8A" w:rsidR="00CA323A" w:rsidRPr="000E74DD" w:rsidRDefault="00CA323A" w:rsidP="00CA323A">
      <w:pPr>
        <w:rPr>
          <w:sz w:val="20"/>
          <w:szCs w:val="20"/>
        </w:rPr>
      </w:pPr>
      <w:r w:rsidRPr="007840B8">
        <w:rPr>
          <w:sz w:val="20"/>
          <w:szCs w:val="20"/>
        </w:rPr>
        <w:t xml:space="preserve">ICNZ recommends that the motor vehicle component of the levy be removed from motor insurance and collected </w:t>
      </w:r>
      <w:r w:rsidRPr="000E74DD">
        <w:rPr>
          <w:sz w:val="20"/>
          <w:szCs w:val="20"/>
        </w:rPr>
        <w:t xml:space="preserve">instead </w:t>
      </w:r>
      <w:r w:rsidRPr="007840B8">
        <w:rPr>
          <w:sz w:val="20"/>
          <w:szCs w:val="20"/>
        </w:rPr>
        <w:t>through vehicle registration</w:t>
      </w:r>
      <w:r w:rsidRPr="000E74DD">
        <w:rPr>
          <w:sz w:val="20"/>
          <w:szCs w:val="20"/>
        </w:rPr>
        <w:t>, in the same way as ACC motor vehicle levies are collected</w:t>
      </w:r>
      <w:r w:rsidRPr="000E74DD">
        <w:rPr>
          <w:rStyle w:val="FootnoteReference"/>
          <w:sz w:val="20"/>
          <w:szCs w:val="20"/>
        </w:rPr>
        <w:footnoteReference w:id="8"/>
      </w:r>
      <w:r w:rsidRPr="007840B8">
        <w:rPr>
          <w:sz w:val="20"/>
          <w:szCs w:val="20"/>
        </w:rPr>
        <w:t xml:space="preserve">. This would better align the funding base with the source of potential demand for emergency response. It would also </w:t>
      </w:r>
      <w:r w:rsidRPr="000E74DD">
        <w:rPr>
          <w:sz w:val="20"/>
          <w:szCs w:val="20"/>
        </w:rPr>
        <w:t>have the following benefits:</w:t>
      </w:r>
    </w:p>
    <w:p w14:paraId="78202278" w14:textId="77777777" w:rsidR="00CA323A" w:rsidRPr="000E74DD" w:rsidRDefault="00CA323A" w:rsidP="00CA323A">
      <w:pPr>
        <w:pStyle w:val="ListParagraph"/>
        <w:numPr>
          <w:ilvl w:val="0"/>
          <w:numId w:val="8"/>
        </w:numPr>
        <w:rPr>
          <w:sz w:val="20"/>
          <w:szCs w:val="20"/>
        </w:rPr>
      </w:pPr>
      <w:r w:rsidRPr="000E74DD">
        <w:rPr>
          <w:rFonts w:ascii="PP Mori" w:hAnsi="PP Mori"/>
          <w:sz w:val="20"/>
          <w:szCs w:val="20"/>
        </w:rPr>
        <w:t xml:space="preserve">It would capture </w:t>
      </w:r>
      <w:r>
        <w:rPr>
          <w:rFonts w:ascii="PP Mori" w:hAnsi="PP Mori"/>
          <w:sz w:val="20"/>
          <w:szCs w:val="20"/>
        </w:rPr>
        <w:t xml:space="preserve">all </w:t>
      </w:r>
      <w:r w:rsidRPr="000E74DD">
        <w:rPr>
          <w:rFonts w:ascii="PP Mori" w:hAnsi="PP Mori"/>
          <w:sz w:val="20"/>
          <w:szCs w:val="20"/>
        </w:rPr>
        <w:t xml:space="preserve">registered vehicles regardless of whether they are insured, improving fairness, broadening the levy base, </w:t>
      </w:r>
      <w:r>
        <w:rPr>
          <w:rFonts w:ascii="PP Mori" w:hAnsi="PP Mori"/>
          <w:sz w:val="20"/>
          <w:szCs w:val="20"/>
        </w:rPr>
        <w:t xml:space="preserve">and </w:t>
      </w:r>
      <w:r w:rsidRPr="000E74DD">
        <w:rPr>
          <w:rFonts w:ascii="PP Mori" w:hAnsi="PP Mori"/>
          <w:sz w:val="20"/>
          <w:szCs w:val="20"/>
        </w:rPr>
        <w:t>reducing distortions in insurance purchasing decisions.</w:t>
      </w:r>
    </w:p>
    <w:p w14:paraId="03D73AE7" w14:textId="77777777" w:rsidR="00CA323A" w:rsidRPr="000E74DD" w:rsidRDefault="00CA323A" w:rsidP="00CA323A">
      <w:pPr>
        <w:pStyle w:val="ListParagraph"/>
        <w:numPr>
          <w:ilvl w:val="0"/>
          <w:numId w:val="8"/>
        </w:numPr>
        <w:rPr>
          <w:sz w:val="20"/>
          <w:szCs w:val="20"/>
        </w:rPr>
      </w:pPr>
      <w:r w:rsidRPr="000E74DD">
        <w:rPr>
          <w:rFonts w:ascii="PP Mori" w:hAnsi="PP Mori"/>
          <w:sz w:val="20"/>
          <w:szCs w:val="20"/>
        </w:rPr>
        <w:t>The broader application could also enable a lower rate on average as all registered vehicles would be included.</w:t>
      </w:r>
    </w:p>
    <w:p w14:paraId="72FB5335" w14:textId="77777777" w:rsidR="00CA323A" w:rsidRPr="000E74DD" w:rsidRDefault="00CA323A" w:rsidP="00CA323A">
      <w:pPr>
        <w:pStyle w:val="ListParagraph"/>
        <w:numPr>
          <w:ilvl w:val="0"/>
          <w:numId w:val="8"/>
        </w:numPr>
        <w:rPr>
          <w:sz w:val="20"/>
          <w:szCs w:val="20"/>
        </w:rPr>
      </w:pPr>
      <w:r>
        <w:rPr>
          <w:rFonts w:ascii="PP Mori" w:hAnsi="PP Mori"/>
          <w:sz w:val="20"/>
          <w:szCs w:val="20"/>
        </w:rPr>
        <w:t>Different rates could be set for different vehicle types</w:t>
      </w:r>
      <w:r w:rsidRPr="000E74DD">
        <w:rPr>
          <w:rFonts w:ascii="PP Mori" w:hAnsi="PP Mori"/>
          <w:sz w:val="20"/>
          <w:szCs w:val="20"/>
        </w:rPr>
        <w:t xml:space="preserve"> (</w:t>
      </w:r>
      <w:r>
        <w:rPr>
          <w:rFonts w:ascii="PP Mori" w:hAnsi="PP Mori"/>
          <w:sz w:val="20"/>
          <w:szCs w:val="20"/>
        </w:rPr>
        <w:t xml:space="preserve">e.g., </w:t>
      </w:r>
      <w:r w:rsidRPr="000E74DD">
        <w:rPr>
          <w:rFonts w:ascii="PP Mori" w:hAnsi="PP Mori"/>
          <w:sz w:val="20"/>
          <w:szCs w:val="20"/>
        </w:rPr>
        <w:t>cars, motorcycles, light trailers, trucks) and exemptions for certain types of vehicles (e</w:t>
      </w:r>
      <w:r>
        <w:rPr>
          <w:rFonts w:ascii="PP Mori" w:hAnsi="PP Mori"/>
          <w:sz w:val="20"/>
          <w:szCs w:val="20"/>
        </w:rPr>
        <w:t>.</w:t>
      </w:r>
      <w:r w:rsidRPr="000E74DD">
        <w:rPr>
          <w:rFonts w:ascii="PP Mori" w:hAnsi="PP Mori"/>
          <w:sz w:val="20"/>
          <w:szCs w:val="20"/>
        </w:rPr>
        <w:t>g</w:t>
      </w:r>
      <w:r>
        <w:rPr>
          <w:rFonts w:ascii="PP Mori" w:hAnsi="PP Mori"/>
          <w:sz w:val="20"/>
          <w:szCs w:val="20"/>
        </w:rPr>
        <w:t>.,</w:t>
      </w:r>
      <w:r w:rsidRPr="000E74DD">
        <w:rPr>
          <w:rFonts w:ascii="PP Mori" w:hAnsi="PP Mori"/>
          <w:sz w:val="20"/>
          <w:szCs w:val="20"/>
        </w:rPr>
        <w:t xml:space="preserve"> fire brigade vehicles or ambulances) could easily be applied.</w:t>
      </w:r>
    </w:p>
    <w:p w14:paraId="2EB4074D" w14:textId="77777777" w:rsidR="00CA323A" w:rsidRPr="000E74DD" w:rsidRDefault="00CA323A" w:rsidP="00CA323A">
      <w:pPr>
        <w:pStyle w:val="ListParagraph"/>
        <w:numPr>
          <w:ilvl w:val="0"/>
          <w:numId w:val="8"/>
        </w:numPr>
        <w:rPr>
          <w:rFonts w:ascii="PP Mori" w:hAnsi="PP Mori"/>
          <w:sz w:val="20"/>
          <w:szCs w:val="20"/>
        </w:rPr>
      </w:pPr>
      <w:r>
        <w:rPr>
          <w:rFonts w:ascii="PP Mori" w:hAnsi="PP Mori"/>
          <w:sz w:val="20"/>
          <w:szCs w:val="20"/>
        </w:rPr>
        <w:t>It would l</w:t>
      </w:r>
      <w:r w:rsidRPr="000E74DD">
        <w:rPr>
          <w:rFonts w:ascii="PP Mori" w:hAnsi="PP Mori"/>
          <w:sz w:val="20"/>
          <w:szCs w:val="20"/>
        </w:rPr>
        <w:t>everage an existing collection system that is already set</w:t>
      </w:r>
      <w:r>
        <w:rPr>
          <w:rFonts w:ascii="PP Mori" w:hAnsi="PP Mori"/>
          <w:sz w:val="20"/>
          <w:szCs w:val="20"/>
        </w:rPr>
        <w:t xml:space="preserve"> </w:t>
      </w:r>
      <w:r w:rsidRPr="000E74DD">
        <w:rPr>
          <w:rFonts w:ascii="PP Mori" w:hAnsi="PP Mori"/>
          <w:sz w:val="20"/>
          <w:szCs w:val="20"/>
        </w:rPr>
        <w:t>up to collect levies across a variety of vehicle types and with regular changes in levy rates that can be applied at shorter notice.</w:t>
      </w:r>
    </w:p>
    <w:p w14:paraId="4B88CFF1" w14:textId="77777777" w:rsidR="00CA323A" w:rsidRPr="000E74DD" w:rsidRDefault="00CA323A" w:rsidP="00CA323A">
      <w:pPr>
        <w:rPr>
          <w:sz w:val="20"/>
          <w:szCs w:val="20"/>
        </w:rPr>
      </w:pPr>
      <w:r w:rsidRPr="000E74DD">
        <w:rPr>
          <w:sz w:val="20"/>
          <w:szCs w:val="20"/>
        </w:rPr>
        <w:lastRenderedPageBreak/>
        <w:t>We consider that the advantages of such an approach over the current model are compelling</w:t>
      </w:r>
      <w:r>
        <w:rPr>
          <w:sz w:val="20"/>
          <w:szCs w:val="20"/>
        </w:rPr>
        <w:t>, and that this is a change that could be implemented relatively swiftly.</w:t>
      </w:r>
    </w:p>
    <w:p w14:paraId="5A9E2884" w14:textId="4468B5DF" w:rsidR="00CA323A" w:rsidRPr="003C15F3" w:rsidRDefault="00CA323A" w:rsidP="00F860B5">
      <w:pPr>
        <w:pStyle w:val="Heading2"/>
        <w:spacing w:before="160" w:after="80"/>
        <w:rPr>
          <w:rFonts w:ascii="PP Mori" w:hAnsi="PP Mori" w:cstheme="minorBidi"/>
          <w:i/>
          <w:iCs/>
          <w:color w:val="000000" w:themeColor="text1"/>
          <w:sz w:val="20"/>
          <w:szCs w:val="20"/>
        </w:rPr>
      </w:pPr>
      <w:r w:rsidRPr="000E74DD">
        <w:rPr>
          <w:rFonts w:ascii="PP Mori" w:hAnsi="PP Mori" w:cstheme="minorBidi"/>
          <w:i/>
          <w:iCs/>
          <w:color w:val="000000" w:themeColor="text1"/>
          <w:sz w:val="20"/>
          <w:szCs w:val="20"/>
        </w:rPr>
        <w:t>6.4</w:t>
      </w:r>
      <w:r w:rsidRPr="003C15F3">
        <w:rPr>
          <w:rFonts w:ascii="PP Mori" w:hAnsi="PP Mori" w:cstheme="minorBidi"/>
          <w:i/>
          <w:iCs/>
          <w:color w:val="000000" w:themeColor="text1"/>
          <w:sz w:val="20"/>
          <w:szCs w:val="20"/>
        </w:rPr>
        <w:t xml:space="preserve"> Forestry, marine craft and other asset classes</w:t>
      </w:r>
    </w:p>
    <w:p w14:paraId="0085333D" w14:textId="0F248A24" w:rsidR="00CA323A" w:rsidRPr="000E74DD" w:rsidRDefault="00CA323A" w:rsidP="00CA323A">
      <w:pPr>
        <w:rPr>
          <w:sz w:val="20"/>
          <w:szCs w:val="20"/>
        </w:rPr>
      </w:pPr>
      <w:r w:rsidRPr="007840B8">
        <w:rPr>
          <w:sz w:val="20"/>
          <w:szCs w:val="20"/>
        </w:rPr>
        <w:t xml:space="preserve">The review should also consider whether </w:t>
      </w:r>
      <w:r w:rsidRPr="000E74DD">
        <w:rPr>
          <w:sz w:val="20"/>
          <w:szCs w:val="20"/>
        </w:rPr>
        <w:t>particular</w:t>
      </w:r>
      <w:r w:rsidRPr="007840B8">
        <w:rPr>
          <w:sz w:val="20"/>
          <w:szCs w:val="20"/>
        </w:rPr>
        <w:t xml:space="preserve"> asset classes that create material fire or emergency response risk but are not effectively captured through insurance</w:t>
      </w:r>
      <w:r w:rsidRPr="000E74DD">
        <w:rPr>
          <w:sz w:val="20"/>
          <w:szCs w:val="20"/>
        </w:rPr>
        <w:t>-based funding</w:t>
      </w:r>
      <w:r w:rsidRPr="007840B8">
        <w:rPr>
          <w:sz w:val="20"/>
          <w:szCs w:val="20"/>
        </w:rPr>
        <w:t xml:space="preserve"> should make an appropriate contribution through alternative mechanisms. </w:t>
      </w:r>
    </w:p>
    <w:p w14:paraId="110B5220" w14:textId="2AEF4D4D" w:rsidR="00CA323A" w:rsidRPr="007840B8" w:rsidRDefault="00CA323A" w:rsidP="00CA323A">
      <w:pPr>
        <w:rPr>
          <w:sz w:val="20"/>
          <w:szCs w:val="20"/>
          <w:lang w:eastAsia="en-NZ"/>
        </w:rPr>
      </w:pPr>
      <w:r w:rsidRPr="007840B8">
        <w:rPr>
          <w:sz w:val="20"/>
          <w:szCs w:val="20"/>
        </w:rPr>
        <w:t>This includes forestry operations, where insurance</w:t>
      </w:r>
      <w:r w:rsidRPr="000E74DD">
        <w:rPr>
          <w:sz w:val="20"/>
          <w:szCs w:val="20"/>
        </w:rPr>
        <w:t xml:space="preserve"> uptake is</w:t>
      </w:r>
      <w:r w:rsidRPr="007840B8">
        <w:rPr>
          <w:sz w:val="20"/>
          <w:szCs w:val="20"/>
        </w:rPr>
        <w:t xml:space="preserve"> limited and where fire</w:t>
      </w:r>
      <w:r w:rsidRPr="000E74DD">
        <w:rPr>
          <w:sz w:val="20"/>
          <w:szCs w:val="20"/>
        </w:rPr>
        <w:t>s</w:t>
      </w:r>
      <w:r w:rsidRPr="007840B8">
        <w:rPr>
          <w:sz w:val="20"/>
          <w:szCs w:val="20"/>
        </w:rPr>
        <w:t xml:space="preserve"> can be significant</w:t>
      </w:r>
      <w:r w:rsidRPr="000E74DD">
        <w:rPr>
          <w:sz w:val="20"/>
          <w:szCs w:val="20"/>
        </w:rPr>
        <w:t>, costly for FENZ to respond to</w:t>
      </w:r>
      <w:r w:rsidR="00E24EB2">
        <w:rPr>
          <w:sz w:val="20"/>
          <w:szCs w:val="20"/>
        </w:rPr>
        <w:t>,</w:t>
      </w:r>
      <w:r w:rsidRPr="000E74DD">
        <w:rPr>
          <w:sz w:val="20"/>
          <w:szCs w:val="20"/>
        </w:rPr>
        <w:t xml:space="preserve"> and expected to increase due to climate change</w:t>
      </w:r>
      <w:r w:rsidRPr="007840B8">
        <w:rPr>
          <w:sz w:val="20"/>
          <w:szCs w:val="20"/>
        </w:rPr>
        <w:t>. Any contribution</w:t>
      </w:r>
      <w:r w:rsidRPr="006201FB">
        <w:rPr>
          <w:sz w:val="20"/>
          <w:szCs w:val="20"/>
        </w:rPr>
        <w:t xml:space="preserve"> from forestry</w:t>
      </w:r>
      <w:r w:rsidRPr="007840B8">
        <w:rPr>
          <w:sz w:val="20"/>
          <w:szCs w:val="20"/>
        </w:rPr>
        <w:t xml:space="preserve"> should be designed alongside wider forestry management obligations</w:t>
      </w:r>
      <w:r w:rsidRPr="006201FB">
        <w:rPr>
          <w:sz w:val="20"/>
          <w:szCs w:val="20"/>
        </w:rPr>
        <w:t>. Any contribution should also be designed to</w:t>
      </w:r>
      <w:r w:rsidRPr="007840B8">
        <w:rPr>
          <w:sz w:val="20"/>
          <w:szCs w:val="20"/>
        </w:rPr>
        <w:t xml:space="preserve"> avoid imposing disproportionate costs on small woodlot owners </w:t>
      </w:r>
      <w:r>
        <w:rPr>
          <w:sz w:val="20"/>
          <w:szCs w:val="20"/>
        </w:rPr>
        <w:t>and</w:t>
      </w:r>
      <w:r w:rsidRPr="007840B8">
        <w:rPr>
          <w:sz w:val="20"/>
          <w:szCs w:val="20"/>
        </w:rPr>
        <w:t xml:space="preserve"> farmers.</w:t>
      </w:r>
      <w:r>
        <w:rPr>
          <w:rStyle w:val="FootnoteReference"/>
          <w:sz w:val="20"/>
          <w:szCs w:val="20"/>
        </w:rPr>
        <w:footnoteReference w:id="9"/>
      </w:r>
    </w:p>
    <w:p w14:paraId="7A5A5A7B" w14:textId="28B18342" w:rsidR="00CA323A" w:rsidRPr="007840B8" w:rsidRDefault="00CA323A" w:rsidP="00CA323A">
      <w:pPr>
        <w:rPr>
          <w:sz w:val="20"/>
          <w:szCs w:val="20"/>
        </w:rPr>
      </w:pPr>
      <w:r w:rsidRPr="006201FB">
        <w:rPr>
          <w:sz w:val="20"/>
          <w:szCs w:val="20"/>
        </w:rPr>
        <w:t>The approach to m</w:t>
      </w:r>
      <w:r w:rsidRPr="007840B8">
        <w:rPr>
          <w:sz w:val="20"/>
          <w:szCs w:val="20"/>
        </w:rPr>
        <w:t>oored marine craft also</w:t>
      </w:r>
      <w:r w:rsidRPr="006201FB">
        <w:rPr>
          <w:sz w:val="20"/>
          <w:szCs w:val="20"/>
        </w:rPr>
        <w:t xml:space="preserve"> requires careful consideration. </w:t>
      </w:r>
      <w:r w:rsidRPr="007840B8">
        <w:rPr>
          <w:sz w:val="20"/>
          <w:szCs w:val="20"/>
        </w:rPr>
        <w:t>FENZ can and does respond to fire events associated with boats on land and in marinas. However</w:t>
      </w:r>
      <w:r w:rsidRPr="006201FB">
        <w:rPr>
          <w:sz w:val="20"/>
          <w:szCs w:val="20"/>
        </w:rPr>
        <w:t>, the treatment of marine craft in the</w:t>
      </w:r>
      <w:r w:rsidRPr="007840B8">
        <w:rPr>
          <w:sz w:val="20"/>
          <w:szCs w:val="20"/>
        </w:rPr>
        <w:t xml:space="preserve"> last levy review </w:t>
      </w:r>
      <w:r w:rsidRPr="006201FB">
        <w:rPr>
          <w:sz w:val="20"/>
          <w:szCs w:val="20"/>
        </w:rPr>
        <w:t xml:space="preserve">illustrates the policy complexity in this area. That review </w:t>
      </w:r>
      <w:r w:rsidRPr="007840B8">
        <w:rPr>
          <w:sz w:val="20"/>
          <w:szCs w:val="20"/>
        </w:rPr>
        <w:t xml:space="preserve">began with </w:t>
      </w:r>
      <w:r w:rsidRPr="007840B8">
        <w:rPr>
          <w:sz w:val="20"/>
          <w:szCs w:val="20"/>
          <w:u w:val="single"/>
        </w:rPr>
        <w:t>some</w:t>
      </w:r>
      <w:r w:rsidRPr="007840B8">
        <w:rPr>
          <w:sz w:val="20"/>
          <w:szCs w:val="20"/>
        </w:rPr>
        <w:t xml:space="preserve"> insured boats being subject to</w:t>
      </w:r>
      <w:r>
        <w:rPr>
          <w:sz w:val="20"/>
          <w:szCs w:val="20"/>
        </w:rPr>
        <w:t xml:space="preserve"> the</w:t>
      </w:r>
      <w:r w:rsidRPr="007840B8">
        <w:rPr>
          <w:sz w:val="20"/>
          <w:szCs w:val="20"/>
        </w:rPr>
        <w:t xml:space="preserve"> levy (those </w:t>
      </w:r>
      <w:r w:rsidRPr="006201FB">
        <w:rPr>
          <w:sz w:val="20"/>
          <w:szCs w:val="20"/>
        </w:rPr>
        <w:t xml:space="preserve">permanently or temporarily </w:t>
      </w:r>
      <w:r w:rsidRPr="007840B8">
        <w:rPr>
          <w:sz w:val="20"/>
          <w:szCs w:val="20"/>
        </w:rPr>
        <w:t>on la</w:t>
      </w:r>
      <w:r w:rsidRPr="006201FB">
        <w:rPr>
          <w:sz w:val="20"/>
          <w:szCs w:val="20"/>
        </w:rPr>
        <w:t>nd</w:t>
      </w:r>
      <w:r w:rsidRPr="007840B8">
        <w:rPr>
          <w:sz w:val="20"/>
          <w:szCs w:val="20"/>
        </w:rPr>
        <w:t>)</w:t>
      </w:r>
      <w:r w:rsidRPr="006201FB">
        <w:rPr>
          <w:sz w:val="20"/>
          <w:szCs w:val="20"/>
        </w:rPr>
        <w:t>.</w:t>
      </w:r>
      <w:r w:rsidRPr="007840B8">
        <w:rPr>
          <w:sz w:val="20"/>
          <w:szCs w:val="20"/>
        </w:rPr>
        <w:t xml:space="preserve"> </w:t>
      </w:r>
      <w:r w:rsidRPr="006201FB">
        <w:rPr>
          <w:sz w:val="20"/>
          <w:szCs w:val="20"/>
        </w:rPr>
        <w:t xml:space="preserve">It then considered </w:t>
      </w:r>
      <w:r w:rsidRPr="007840B8">
        <w:rPr>
          <w:sz w:val="20"/>
          <w:szCs w:val="20"/>
        </w:rPr>
        <w:t xml:space="preserve">extending </w:t>
      </w:r>
      <w:r w:rsidRPr="006201FB">
        <w:rPr>
          <w:sz w:val="20"/>
          <w:szCs w:val="20"/>
        </w:rPr>
        <w:t>the levy</w:t>
      </w:r>
      <w:r w:rsidRPr="007840B8">
        <w:rPr>
          <w:sz w:val="20"/>
          <w:szCs w:val="20"/>
        </w:rPr>
        <w:t xml:space="preserve"> to </w:t>
      </w:r>
      <w:r w:rsidRPr="007840B8">
        <w:rPr>
          <w:sz w:val="20"/>
          <w:szCs w:val="20"/>
          <w:u w:val="single"/>
        </w:rPr>
        <w:t>all</w:t>
      </w:r>
      <w:r w:rsidRPr="007840B8">
        <w:rPr>
          <w:sz w:val="20"/>
          <w:szCs w:val="20"/>
        </w:rPr>
        <w:t xml:space="preserve"> insured vessels</w:t>
      </w:r>
      <w:r w:rsidRPr="006201FB">
        <w:rPr>
          <w:sz w:val="20"/>
          <w:szCs w:val="20"/>
        </w:rPr>
        <w:t>, whether</w:t>
      </w:r>
      <w:r w:rsidRPr="007840B8">
        <w:rPr>
          <w:sz w:val="20"/>
          <w:szCs w:val="20"/>
        </w:rPr>
        <w:t xml:space="preserve"> on land or in the water,</w:t>
      </w:r>
      <w:r w:rsidRPr="006201FB">
        <w:rPr>
          <w:sz w:val="20"/>
          <w:szCs w:val="20"/>
        </w:rPr>
        <w:t xml:space="preserve"> before ultimately excluding marine craft from the levy altogether</w:t>
      </w:r>
      <w:r w:rsidRPr="007840B8">
        <w:rPr>
          <w:sz w:val="20"/>
          <w:szCs w:val="20"/>
        </w:rPr>
        <w:t>. This</w:t>
      </w:r>
      <w:r w:rsidRPr="006201FB">
        <w:rPr>
          <w:sz w:val="20"/>
          <w:szCs w:val="20"/>
        </w:rPr>
        <w:t xml:space="preserve"> history</w:t>
      </w:r>
      <w:r w:rsidRPr="007840B8">
        <w:rPr>
          <w:sz w:val="20"/>
          <w:szCs w:val="20"/>
        </w:rPr>
        <w:t xml:space="preserve"> illuminate</w:t>
      </w:r>
      <w:r w:rsidRPr="006201FB">
        <w:rPr>
          <w:sz w:val="20"/>
          <w:szCs w:val="20"/>
        </w:rPr>
        <w:t>s</w:t>
      </w:r>
      <w:r w:rsidRPr="007840B8">
        <w:rPr>
          <w:sz w:val="20"/>
          <w:szCs w:val="20"/>
        </w:rPr>
        <w:t xml:space="preserve"> the challenges with policy in this area and suggests a careful</w:t>
      </w:r>
      <w:r w:rsidR="00072FB0">
        <w:rPr>
          <w:sz w:val="20"/>
          <w:szCs w:val="20"/>
        </w:rPr>
        <w:t>,</w:t>
      </w:r>
      <w:r w:rsidRPr="007840B8">
        <w:rPr>
          <w:sz w:val="20"/>
          <w:szCs w:val="20"/>
        </w:rPr>
        <w:t xml:space="preserve"> principles</w:t>
      </w:r>
      <w:r>
        <w:rPr>
          <w:sz w:val="20"/>
          <w:szCs w:val="20"/>
        </w:rPr>
        <w:t>-</w:t>
      </w:r>
      <w:r w:rsidRPr="007840B8">
        <w:rPr>
          <w:sz w:val="20"/>
          <w:szCs w:val="20"/>
        </w:rPr>
        <w:t>based policy enquiry is required. The situation for aircraft has similar features.</w:t>
      </w:r>
    </w:p>
    <w:p w14:paraId="774E299D" w14:textId="77777777" w:rsidR="00CA323A" w:rsidRDefault="00CA323A" w:rsidP="00CA323A">
      <w:pPr>
        <w:rPr>
          <w:sz w:val="20"/>
          <w:szCs w:val="20"/>
        </w:rPr>
      </w:pPr>
      <w:r>
        <w:rPr>
          <w:sz w:val="20"/>
          <w:szCs w:val="20"/>
        </w:rPr>
        <w:t>The treatment of livestock and crops under any future funding model also requires careful thought.</w:t>
      </w:r>
    </w:p>
    <w:p w14:paraId="5EA4E325" w14:textId="77777777" w:rsidR="00ED5483" w:rsidRPr="00CE7E92" w:rsidRDefault="004B3CFB">
      <w:pPr>
        <w:pStyle w:val="Heading2"/>
        <w:spacing w:before="160" w:after="80"/>
        <w:rPr>
          <w:sz w:val="20"/>
          <w:szCs w:val="20"/>
        </w:rPr>
      </w:pPr>
      <w:r w:rsidRPr="00E95EEF">
        <w:rPr>
          <w:rFonts w:ascii="PP Mori" w:hAnsi="PP Mori"/>
          <w:i/>
          <w:color w:val="000000"/>
          <w:sz w:val="20"/>
          <w:szCs w:val="20"/>
        </w:rPr>
        <w:t>6.5 Crown assets</w:t>
      </w:r>
    </w:p>
    <w:p w14:paraId="57DD9660" w14:textId="77777777" w:rsidR="00CA323A" w:rsidRPr="00A110E2" w:rsidRDefault="00CA323A" w:rsidP="00CA323A">
      <w:pPr>
        <w:rPr>
          <w:sz w:val="20"/>
          <w:szCs w:val="20"/>
          <w:lang w:eastAsia="en-NZ"/>
        </w:rPr>
      </w:pPr>
      <w:r w:rsidRPr="006201FB">
        <w:rPr>
          <w:sz w:val="20"/>
          <w:szCs w:val="20"/>
        </w:rPr>
        <w:t>The review should also consider</w:t>
      </w:r>
      <w:r w:rsidRPr="007840B8">
        <w:rPr>
          <w:sz w:val="20"/>
          <w:szCs w:val="20"/>
        </w:rPr>
        <w:t xml:space="preserve"> whether Crown</w:t>
      </w:r>
      <w:r>
        <w:rPr>
          <w:sz w:val="20"/>
          <w:szCs w:val="20"/>
        </w:rPr>
        <w:t>-</w:t>
      </w:r>
      <w:r w:rsidRPr="007840B8">
        <w:rPr>
          <w:sz w:val="20"/>
          <w:szCs w:val="20"/>
        </w:rPr>
        <w:t>owned assets make a fair contribution to FENZ funding</w:t>
      </w:r>
      <w:r w:rsidRPr="006201FB">
        <w:rPr>
          <w:sz w:val="20"/>
          <w:szCs w:val="20"/>
        </w:rPr>
        <w:t>. Crown assets are subject to varying insurance arrangements, including self</w:t>
      </w:r>
      <w:r>
        <w:rPr>
          <w:sz w:val="20"/>
          <w:szCs w:val="20"/>
        </w:rPr>
        <w:t>-</w:t>
      </w:r>
      <w:r w:rsidRPr="006201FB">
        <w:rPr>
          <w:sz w:val="20"/>
          <w:szCs w:val="20"/>
        </w:rPr>
        <w:t>insurance, which means their contribution through an insurance-based levy may not reflect their risk profile. This issue is particularly important</w:t>
      </w:r>
      <w:r w:rsidRPr="007840B8">
        <w:rPr>
          <w:sz w:val="20"/>
          <w:szCs w:val="20"/>
        </w:rPr>
        <w:t xml:space="preserve"> given the longstanding </w:t>
      </w:r>
      <w:r w:rsidRPr="006201FB">
        <w:rPr>
          <w:sz w:val="20"/>
          <w:szCs w:val="20"/>
        </w:rPr>
        <w:t xml:space="preserve">Crown </w:t>
      </w:r>
      <w:r w:rsidRPr="007840B8">
        <w:rPr>
          <w:sz w:val="20"/>
          <w:szCs w:val="20"/>
        </w:rPr>
        <w:t xml:space="preserve">contribution of $10m was reduced recently to $8m despite ongoing increases in FENZ’s budget and now represents </w:t>
      </w:r>
      <w:r>
        <w:rPr>
          <w:sz w:val="20"/>
          <w:szCs w:val="20"/>
        </w:rPr>
        <w:t xml:space="preserve">less than </w:t>
      </w:r>
      <w:r w:rsidRPr="007840B8">
        <w:rPr>
          <w:sz w:val="20"/>
          <w:szCs w:val="20"/>
        </w:rPr>
        <w:t>1% of FENZ’s funding. The Government is also currently looking into insurance arrangements for public assets</w:t>
      </w:r>
      <w:r w:rsidRPr="006201FB">
        <w:rPr>
          <w:sz w:val="20"/>
          <w:szCs w:val="20"/>
        </w:rPr>
        <w:t xml:space="preserve">. </w:t>
      </w:r>
      <w:r>
        <w:rPr>
          <w:sz w:val="20"/>
          <w:szCs w:val="20"/>
        </w:rPr>
        <w:t xml:space="preserve">Property-based funding models may have more scope for ensuring that </w:t>
      </w:r>
      <w:r w:rsidRPr="007840B8">
        <w:rPr>
          <w:sz w:val="20"/>
          <w:szCs w:val="20"/>
        </w:rPr>
        <w:t>government</w:t>
      </w:r>
      <w:r>
        <w:rPr>
          <w:sz w:val="20"/>
          <w:szCs w:val="20"/>
        </w:rPr>
        <w:t>-owned assets</w:t>
      </w:r>
      <w:r w:rsidRPr="007840B8">
        <w:rPr>
          <w:sz w:val="20"/>
          <w:szCs w:val="20"/>
        </w:rPr>
        <w:t xml:space="preserve"> make a contribution</w:t>
      </w:r>
      <w:r>
        <w:rPr>
          <w:sz w:val="20"/>
          <w:szCs w:val="20"/>
        </w:rPr>
        <w:t xml:space="preserve"> to FENZ funding</w:t>
      </w:r>
      <w:r w:rsidRPr="007840B8">
        <w:rPr>
          <w:sz w:val="20"/>
          <w:szCs w:val="20"/>
        </w:rPr>
        <w:t xml:space="preserve"> that fairly represents the scale and profile of those assets.</w:t>
      </w:r>
    </w:p>
    <w:p w14:paraId="6ADECC78" w14:textId="77777777" w:rsidR="00CA323A" w:rsidRPr="00A110E2" w:rsidRDefault="00CA323A" w:rsidP="00F860B5">
      <w:pPr>
        <w:pStyle w:val="Heading2"/>
        <w:spacing w:before="160" w:after="80"/>
        <w:rPr>
          <w:rFonts w:ascii="PP Mori" w:hAnsi="PP Mori" w:cstheme="minorBidi"/>
          <w:b/>
          <w:bCs/>
          <w:color w:val="000000" w:themeColor="text1"/>
          <w:sz w:val="20"/>
          <w:szCs w:val="20"/>
        </w:rPr>
      </w:pPr>
      <w:r>
        <w:rPr>
          <w:rFonts w:ascii="PP Mori" w:hAnsi="PP Mori" w:cstheme="minorBidi"/>
          <w:b/>
          <w:bCs/>
          <w:color w:val="000000" w:themeColor="text1"/>
          <w:sz w:val="20"/>
          <w:szCs w:val="20"/>
        </w:rPr>
        <w:t>7</w:t>
      </w:r>
      <w:r w:rsidRPr="00A110E2">
        <w:rPr>
          <w:rFonts w:ascii="PP Mori" w:hAnsi="PP Mori" w:cstheme="minorBidi"/>
          <w:b/>
          <w:bCs/>
          <w:color w:val="000000" w:themeColor="text1"/>
          <w:sz w:val="20"/>
          <w:szCs w:val="20"/>
        </w:rPr>
        <w:t>. Community Protection Levy and resilience investment</w:t>
      </w:r>
    </w:p>
    <w:p w14:paraId="00571182" w14:textId="77777777" w:rsidR="00CA323A" w:rsidRDefault="00CA323A" w:rsidP="00CA323A">
      <w:pPr>
        <w:rPr>
          <w:sz w:val="20"/>
          <w:szCs w:val="20"/>
        </w:rPr>
      </w:pPr>
      <w:r>
        <w:rPr>
          <w:sz w:val="20"/>
          <w:szCs w:val="20"/>
        </w:rPr>
        <w:t>In June 2026, ICNZ proposed a new Community Protection Levy to fund investment into natural hazard risk reduction and resilience, and a corresponding move to sustainable Crown funding for FENZ.</w:t>
      </w:r>
    </w:p>
    <w:p w14:paraId="274749B9" w14:textId="77777777" w:rsidR="00CA323A" w:rsidRPr="00A110E2" w:rsidRDefault="00CA323A" w:rsidP="00CA323A">
      <w:pPr>
        <w:rPr>
          <w:sz w:val="20"/>
          <w:szCs w:val="20"/>
        </w:rPr>
      </w:pPr>
      <w:r w:rsidRPr="00A110E2">
        <w:rPr>
          <w:sz w:val="20"/>
          <w:szCs w:val="20"/>
        </w:rPr>
        <w:lastRenderedPageBreak/>
        <w:t xml:space="preserve">ICNZ recommends that DIA and Ministers consider the potential role for an insurance-linked Community Protection Levy in conjunction with its review of FENZ funding. </w:t>
      </w:r>
    </w:p>
    <w:p w14:paraId="74E3F919" w14:textId="77777777" w:rsidR="00CA323A" w:rsidRPr="00A110E2" w:rsidRDefault="00CA323A" w:rsidP="00CA323A">
      <w:pPr>
        <w:rPr>
          <w:sz w:val="20"/>
          <w:szCs w:val="20"/>
          <w:lang w:eastAsia="en-NZ"/>
        </w:rPr>
      </w:pPr>
      <w:r w:rsidRPr="00A110E2">
        <w:rPr>
          <w:sz w:val="20"/>
          <w:szCs w:val="20"/>
        </w:rPr>
        <w:t>Natural hazard exposure is increasing, recovery costs are rising, and there is growing recognition of the need to invest more in risk reduction before disasters occur. A Community Protection Levy could provide a transparent mechanism to support long-term resilience investment</w:t>
      </w:r>
      <w:r>
        <w:rPr>
          <w:sz w:val="20"/>
          <w:szCs w:val="20"/>
        </w:rPr>
        <w:t xml:space="preserve"> and could be designed to be simpler to administer than the existing levy</w:t>
      </w:r>
      <w:r w:rsidRPr="00A110E2">
        <w:rPr>
          <w:sz w:val="20"/>
          <w:szCs w:val="20"/>
        </w:rPr>
        <w:t>. Such an approach would better align funding with New Zealand’s changing risk environment</w:t>
      </w:r>
      <w:r>
        <w:rPr>
          <w:sz w:val="20"/>
          <w:szCs w:val="20"/>
        </w:rPr>
        <w:t xml:space="preserve"> and give New Zealanders a direct stake in reducing the risks they face</w:t>
      </w:r>
      <w:r w:rsidRPr="00A110E2">
        <w:rPr>
          <w:sz w:val="20"/>
          <w:szCs w:val="20"/>
        </w:rPr>
        <w:t>.</w:t>
      </w:r>
    </w:p>
    <w:p w14:paraId="68D839D4" w14:textId="77777777" w:rsidR="00CA323A" w:rsidRPr="00A110E2" w:rsidRDefault="00CA323A" w:rsidP="00CA323A">
      <w:pPr>
        <w:rPr>
          <w:sz w:val="20"/>
          <w:szCs w:val="20"/>
        </w:rPr>
      </w:pPr>
      <w:r w:rsidRPr="00A110E2">
        <w:rPr>
          <w:sz w:val="20"/>
          <w:szCs w:val="20"/>
        </w:rPr>
        <w:t>There is substantial New Zealand and international evidence that investment in risk reduction delivers significant economic returns by avoiding future losses. Recent New Zealand examples include the Taradale stop bank during Cyclone Gabrielle, the Awanui Flood Protection Scheme, and the Waipaoa flood resilience scheme. International research similarly indicates that well-targeted resilience investment can return several dollars of avoided loss for every dollar invested.</w:t>
      </w:r>
    </w:p>
    <w:p w14:paraId="4A2F5CB2" w14:textId="77777777" w:rsidR="00CA323A" w:rsidRPr="00A110E2" w:rsidRDefault="00CA323A" w:rsidP="00CA323A">
      <w:pPr>
        <w:rPr>
          <w:sz w:val="20"/>
          <w:szCs w:val="20"/>
        </w:rPr>
      </w:pPr>
      <w:r w:rsidRPr="00A110E2">
        <w:rPr>
          <w:sz w:val="20"/>
          <w:szCs w:val="20"/>
        </w:rPr>
        <w:t>Too much public expenditure is currently directed toward response and recovery after natural hazard events, and too little toward prevention and risk reduction. A dedicated insurance-linked Community Protection Levy would be easier for the public to understand than the current FENZ levy because there is a clearer connection between insurance, natural hazard risk and investment in risk reduction than there is between insurance and the funding of general fire and emergency services. It would also contribute to a more resilient national funding architecture.</w:t>
      </w:r>
    </w:p>
    <w:p w14:paraId="1603FAF9" w14:textId="77777777" w:rsidR="00CA323A" w:rsidRPr="00A110E2" w:rsidRDefault="00CA323A" w:rsidP="00F860B5">
      <w:pPr>
        <w:pStyle w:val="Heading2"/>
        <w:spacing w:before="160" w:after="80"/>
        <w:rPr>
          <w:rFonts w:ascii="PP Mori" w:hAnsi="PP Mori" w:cstheme="minorBidi"/>
          <w:b/>
          <w:bCs/>
          <w:color w:val="000000" w:themeColor="text1"/>
          <w:sz w:val="20"/>
          <w:szCs w:val="20"/>
        </w:rPr>
      </w:pPr>
      <w:r>
        <w:rPr>
          <w:rFonts w:ascii="PP Mori" w:hAnsi="PP Mori" w:cstheme="minorBidi"/>
          <w:b/>
          <w:bCs/>
          <w:color w:val="000000" w:themeColor="text1"/>
          <w:sz w:val="20"/>
          <w:szCs w:val="20"/>
        </w:rPr>
        <w:t xml:space="preserve">8. </w:t>
      </w:r>
      <w:r w:rsidRPr="00A110E2">
        <w:rPr>
          <w:rFonts w:ascii="PP Mori" w:hAnsi="PP Mori" w:cstheme="minorBidi"/>
          <w:b/>
          <w:bCs/>
          <w:color w:val="000000" w:themeColor="text1"/>
          <w:sz w:val="20"/>
          <w:szCs w:val="20"/>
        </w:rPr>
        <w:t>Next steps</w:t>
      </w:r>
    </w:p>
    <w:p w14:paraId="31BFE1EC" w14:textId="77777777" w:rsidR="00CA323A" w:rsidRDefault="00CA323A" w:rsidP="00CA323A">
      <w:pPr>
        <w:rPr>
          <w:sz w:val="20"/>
          <w:szCs w:val="20"/>
        </w:rPr>
      </w:pPr>
      <w:r>
        <w:rPr>
          <w:sz w:val="20"/>
          <w:szCs w:val="20"/>
        </w:rPr>
        <w:t xml:space="preserve">ICNZ supports a strong FENZ that is properly funded. However, the FENZ levy is an outdated, narrow and complex funding mechanism that carries risks for insurance affordability and uptake, and New Zealand’s </w:t>
      </w:r>
      <w:r w:rsidRPr="00E8263A">
        <w:rPr>
          <w:sz w:val="20"/>
          <w:szCs w:val="20"/>
        </w:rPr>
        <w:t>resilience</w:t>
      </w:r>
      <w:r>
        <w:rPr>
          <w:sz w:val="20"/>
          <w:szCs w:val="20"/>
        </w:rPr>
        <w:t xml:space="preserve">. It does not reduce some of the material risks New Zealand faces. </w:t>
      </w:r>
    </w:p>
    <w:p w14:paraId="294AEECE" w14:textId="77777777" w:rsidR="00CA323A" w:rsidRDefault="00CA323A" w:rsidP="00CA323A">
      <w:pPr>
        <w:rPr>
          <w:sz w:val="20"/>
          <w:szCs w:val="20"/>
        </w:rPr>
      </w:pPr>
      <w:r>
        <w:rPr>
          <w:sz w:val="20"/>
          <w:szCs w:val="20"/>
        </w:rPr>
        <w:t>ICNZ considers that funding FENZ through central taxation would reflect the public good service it offers to all New Zealanders. However, an alternative approach of property and vehicle registration-based levies, while requiring some work to implement, would be a simpler and more effective solution and would present less risk than the current model for FENZ’s long term funding base.</w:t>
      </w:r>
    </w:p>
    <w:p w14:paraId="3AB82708" w14:textId="70D85286" w:rsidR="00CA323A" w:rsidRPr="00A110E2" w:rsidRDefault="00CA323A" w:rsidP="00CA323A">
      <w:pPr>
        <w:rPr>
          <w:sz w:val="20"/>
          <w:szCs w:val="20"/>
          <w:lang w:eastAsia="en-NZ"/>
        </w:rPr>
      </w:pPr>
      <w:r w:rsidRPr="00A110E2">
        <w:rPr>
          <w:sz w:val="20"/>
          <w:szCs w:val="20"/>
        </w:rPr>
        <w:t>ICNZ recognises that design choices for FENZ and broader natural</w:t>
      </w:r>
      <w:r w:rsidR="005B21D5">
        <w:rPr>
          <w:sz w:val="20"/>
          <w:szCs w:val="20"/>
        </w:rPr>
        <w:t xml:space="preserve"> hazard</w:t>
      </w:r>
      <w:r w:rsidRPr="00A110E2">
        <w:rPr>
          <w:sz w:val="20"/>
          <w:szCs w:val="20"/>
        </w:rPr>
        <w:t xml:space="preserve"> resilience funding</w:t>
      </w:r>
      <w:r>
        <w:rPr>
          <w:sz w:val="20"/>
          <w:szCs w:val="20"/>
        </w:rPr>
        <w:t xml:space="preserve"> options</w:t>
      </w:r>
      <w:r w:rsidRPr="00A110E2">
        <w:rPr>
          <w:sz w:val="20"/>
          <w:szCs w:val="20"/>
        </w:rPr>
        <w:t xml:space="preserve"> would require </w:t>
      </w:r>
      <w:r>
        <w:rPr>
          <w:sz w:val="20"/>
          <w:szCs w:val="20"/>
        </w:rPr>
        <w:t xml:space="preserve">substantial </w:t>
      </w:r>
      <w:r w:rsidRPr="00A110E2">
        <w:rPr>
          <w:sz w:val="20"/>
          <w:szCs w:val="20"/>
        </w:rPr>
        <w:t>further work. Key issues include</w:t>
      </w:r>
      <w:r>
        <w:rPr>
          <w:sz w:val="20"/>
          <w:szCs w:val="20"/>
        </w:rPr>
        <w:t xml:space="preserve"> collection methods,</w:t>
      </w:r>
      <w:r w:rsidRPr="00A110E2">
        <w:rPr>
          <w:sz w:val="20"/>
          <w:szCs w:val="20"/>
        </w:rPr>
        <w:t xml:space="preserve"> the </w:t>
      </w:r>
      <w:r>
        <w:rPr>
          <w:sz w:val="20"/>
          <w:szCs w:val="20"/>
        </w:rPr>
        <w:t>funding</w:t>
      </w:r>
      <w:r w:rsidRPr="00A110E2">
        <w:rPr>
          <w:sz w:val="20"/>
          <w:szCs w:val="20"/>
        </w:rPr>
        <w:t xml:space="preserve"> base, caps and concessions, the relationship with council rates and existing Crown funding, </w:t>
      </w:r>
      <w:r w:rsidRPr="00EB64F9">
        <w:rPr>
          <w:sz w:val="20"/>
          <w:szCs w:val="20"/>
        </w:rPr>
        <w:t>governance of the investment pipeline, accountability for project selection, and how benefits are measured over time</w:t>
      </w:r>
      <w:r w:rsidRPr="001B29E2">
        <w:rPr>
          <w:sz w:val="20"/>
          <w:szCs w:val="20"/>
        </w:rPr>
        <w:t>. However, ICNZ considers that the direction of travel is clear: New Zealand needs a simpler, fairer</w:t>
      </w:r>
      <w:r>
        <w:rPr>
          <w:sz w:val="20"/>
          <w:szCs w:val="20"/>
        </w:rPr>
        <w:t>,</w:t>
      </w:r>
      <w:r w:rsidRPr="001B29E2">
        <w:rPr>
          <w:sz w:val="20"/>
          <w:szCs w:val="20"/>
        </w:rPr>
        <w:t xml:space="preserve"> more sustainable and</w:t>
      </w:r>
      <w:r>
        <w:rPr>
          <w:sz w:val="20"/>
          <w:szCs w:val="20"/>
        </w:rPr>
        <w:t xml:space="preserve"> more</w:t>
      </w:r>
      <w:r w:rsidRPr="001B29E2">
        <w:rPr>
          <w:sz w:val="20"/>
          <w:szCs w:val="20"/>
        </w:rPr>
        <w:t xml:space="preserve"> efficient model for funding emergency services provided by FENZ </w:t>
      </w:r>
      <w:r w:rsidRPr="00EB64F9">
        <w:rPr>
          <w:sz w:val="20"/>
          <w:szCs w:val="20"/>
        </w:rPr>
        <w:t>while investing more in reducing risk before disasters occur</w:t>
      </w:r>
      <w:r w:rsidRPr="001B29E2">
        <w:rPr>
          <w:sz w:val="20"/>
          <w:szCs w:val="20"/>
        </w:rPr>
        <w:t>.</w:t>
      </w:r>
    </w:p>
    <w:p w14:paraId="45BE41B6" w14:textId="2C165E8C" w:rsidR="00CA323A" w:rsidRDefault="00CA323A" w:rsidP="00CA323A">
      <w:pPr>
        <w:rPr>
          <w:sz w:val="20"/>
          <w:szCs w:val="20"/>
        </w:rPr>
      </w:pPr>
      <w:r w:rsidRPr="00A110E2">
        <w:rPr>
          <w:sz w:val="20"/>
          <w:szCs w:val="20"/>
        </w:rPr>
        <w:t xml:space="preserve">ICNZ recommends that DIA </w:t>
      </w:r>
      <w:r>
        <w:rPr>
          <w:sz w:val="20"/>
          <w:szCs w:val="20"/>
        </w:rPr>
        <w:t xml:space="preserve">work carefully over the coming period to progress change </w:t>
      </w:r>
      <w:r w:rsidRPr="00A110E2">
        <w:rPr>
          <w:sz w:val="20"/>
          <w:szCs w:val="20"/>
        </w:rPr>
        <w:t>in partnership with Treasury, local government, FENZ, insurers and other affected sectors.</w:t>
      </w:r>
    </w:p>
    <w:p w14:paraId="2EEBBADC" w14:textId="484DFF3A" w:rsidR="00CA323A" w:rsidRPr="00A110E2" w:rsidRDefault="00CA323A" w:rsidP="00CA323A">
      <w:pPr>
        <w:rPr>
          <w:sz w:val="20"/>
          <w:szCs w:val="20"/>
          <w:lang w:eastAsia="en-NZ"/>
        </w:rPr>
      </w:pPr>
      <w:r>
        <w:rPr>
          <w:sz w:val="20"/>
          <w:szCs w:val="20"/>
        </w:rPr>
        <w:t xml:space="preserve">Any </w:t>
      </w:r>
      <w:r w:rsidRPr="00A110E2">
        <w:rPr>
          <w:sz w:val="20"/>
          <w:szCs w:val="20"/>
        </w:rPr>
        <w:t>transition</w:t>
      </w:r>
      <w:r>
        <w:rPr>
          <w:sz w:val="20"/>
          <w:szCs w:val="20"/>
        </w:rPr>
        <w:t xml:space="preserve"> to a property-based levy</w:t>
      </w:r>
      <w:r w:rsidRPr="00A110E2">
        <w:rPr>
          <w:sz w:val="20"/>
          <w:szCs w:val="20"/>
        </w:rPr>
        <w:t xml:space="preserve"> should include sufficient lead time for systems changes, clear statutory authority for any new collection mechanism, transparent public communication, and mechanisms to ensure that FENZ levy amounts are removed from insurance premiums as </w:t>
      </w:r>
      <w:r w:rsidRPr="00A110E2">
        <w:rPr>
          <w:sz w:val="20"/>
          <w:szCs w:val="20"/>
        </w:rPr>
        <w:lastRenderedPageBreak/>
        <w:t>the insurance-based levy is phased out.</w:t>
      </w:r>
      <w:r>
        <w:rPr>
          <w:sz w:val="20"/>
          <w:szCs w:val="20"/>
        </w:rPr>
        <w:t xml:space="preserve"> This could happen as one process or as a sequence over time for different classes of property (e.g., motor vehicles, then homes).</w:t>
      </w:r>
    </w:p>
    <w:p w14:paraId="246C584D" w14:textId="77777777" w:rsidR="00CA323A" w:rsidRPr="009006D8" w:rsidRDefault="00CA323A" w:rsidP="00CA323A">
      <w:pPr>
        <w:rPr>
          <w:sz w:val="20"/>
          <w:szCs w:val="20"/>
          <w:lang w:eastAsia="en-NZ"/>
        </w:rPr>
      </w:pPr>
      <w:r w:rsidRPr="00A110E2">
        <w:rPr>
          <w:sz w:val="20"/>
          <w:szCs w:val="20"/>
        </w:rPr>
        <w:t>ICNZ appreciates the opportunity to contribute to DIA’s review of FENZ</w:t>
      </w:r>
      <w:r>
        <w:rPr>
          <w:sz w:val="20"/>
          <w:szCs w:val="20"/>
        </w:rPr>
        <w:t>’s</w:t>
      </w:r>
      <w:r w:rsidRPr="00A110E2">
        <w:rPr>
          <w:sz w:val="20"/>
          <w:szCs w:val="20"/>
        </w:rPr>
        <w:t xml:space="preserve"> funding arrangements and </w:t>
      </w:r>
      <w:r w:rsidRPr="009006D8">
        <w:rPr>
          <w:sz w:val="20"/>
          <w:szCs w:val="20"/>
        </w:rPr>
        <w:t xml:space="preserve">would welcome the opportunity to discuss this submission further. </w:t>
      </w:r>
    </w:p>
    <w:p w14:paraId="6B84354C" w14:textId="77777777" w:rsidR="00CA323A" w:rsidRPr="00A110E2" w:rsidRDefault="00CA323A" w:rsidP="00CA323A">
      <w:pPr>
        <w:rPr>
          <w:sz w:val="20"/>
          <w:szCs w:val="20"/>
          <w:lang w:eastAsia="en-NZ"/>
        </w:rPr>
      </w:pPr>
      <w:r w:rsidRPr="009006D8">
        <w:rPr>
          <w:sz w:val="20"/>
          <w:szCs w:val="20"/>
        </w:rPr>
        <w:t xml:space="preserve">The review provides an opportunity to place FENZ funding on a fairer, broader and more sustainable footing. A reformed funding model should be explored that maintains stable support for emergency response capability while reducing the impact on insurance premiums, lowering administrative complexity, </w:t>
      </w:r>
      <w:r w:rsidRPr="00EB64F9">
        <w:rPr>
          <w:sz w:val="20"/>
          <w:szCs w:val="20"/>
        </w:rPr>
        <w:t>and supporting stronger investment in risk reduction and community resilience.</w:t>
      </w:r>
    </w:p>
    <w:p w14:paraId="49FD8EB5" w14:textId="77777777" w:rsidR="00CA323A" w:rsidRDefault="00CA323A" w:rsidP="00CA323A">
      <w:pPr>
        <w:rPr>
          <w:sz w:val="20"/>
          <w:szCs w:val="20"/>
        </w:rPr>
      </w:pPr>
      <w:r w:rsidRPr="00A110E2">
        <w:rPr>
          <w:sz w:val="20"/>
          <w:szCs w:val="20"/>
        </w:rPr>
        <w:t>Please do not hesitate to contact ICNZ if further information would assist the review.</w:t>
      </w:r>
    </w:p>
    <w:p w14:paraId="64625724" w14:textId="4ED94F3C" w:rsidR="00F0371B" w:rsidRDefault="005D30E5" w:rsidP="005D30E5">
      <w:r w:rsidRPr="00A110E2">
        <w:rPr>
          <w:sz w:val="20"/>
          <w:szCs w:val="20"/>
        </w:rPr>
        <w:t>Yours sincerely</w:t>
      </w:r>
      <w:r>
        <w:br/>
      </w:r>
      <w:r w:rsidR="000A69D7">
        <w:rPr>
          <w:noProof/>
        </w:rPr>
        <w:drawing>
          <wp:inline distT="0" distB="0" distL="0" distR="0" wp14:anchorId="33C3DD57" wp14:editId="4DFBC59F">
            <wp:extent cx="1790700" cy="1314450"/>
            <wp:effectExtent l="0" t="0" r="0" b="0"/>
            <wp:docPr id="3276161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0700" cy="1314450"/>
                    </a:xfrm>
                    <a:prstGeom prst="rect">
                      <a:avLst/>
                    </a:prstGeom>
                    <a:noFill/>
                    <a:ln>
                      <a:noFill/>
                    </a:ln>
                  </pic:spPr>
                </pic:pic>
              </a:graphicData>
            </a:graphic>
          </wp:inline>
        </w:drawing>
      </w:r>
    </w:p>
    <w:p w14:paraId="26AF0A52" w14:textId="2BB5FA23" w:rsidR="00733656" w:rsidRDefault="005D30E5" w:rsidP="005D30E5">
      <w:r w:rsidRPr="00402184">
        <w:rPr>
          <w:sz w:val="20"/>
          <w:szCs w:val="20"/>
        </w:rPr>
        <w:t>Hon. Kris Faafoi</w:t>
      </w:r>
      <w:r w:rsidRPr="00402184">
        <w:rPr>
          <w:sz w:val="20"/>
          <w:szCs w:val="20"/>
        </w:rPr>
        <w:br/>
        <w:t>Chief Executive</w:t>
      </w:r>
      <w:r w:rsidRPr="00402184">
        <w:rPr>
          <w:sz w:val="20"/>
          <w:szCs w:val="20"/>
        </w:rPr>
        <w:br/>
        <w:t>Te Kāhui Inihua o Aotearoa | Insurance Council of New Zealand</w:t>
      </w:r>
    </w:p>
    <w:p w14:paraId="0161F4B9" w14:textId="77777777" w:rsidR="005D30E5" w:rsidRDefault="005D30E5" w:rsidP="005D30E5"/>
    <w:p w14:paraId="6BB15DD5" w14:textId="0E699EF8" w:rsidR="005D30E5" w:rsidRDefault="005D30E5">
      <w:r>
        <w:br w:type="page"/>
      </w:r>
    </w:p>
    <w:p w14:paraId="3A1C26E0" w14:textId="77777777" w:rsidR="00ED5483" w:rsidRPr="00BA52CC" w:rsidRDefault="00ED5483" w:rsidP="00ED5483">
      <w:pPr>
        <w:pStyle w:val="Heading1"/>
        <w:rPr>
          <w:rFonts w:ascii="PP Mori" w:hAnsi="PP Mori" w:cstheme="minorBidi"/>
          <w:color w:val="000000" w:themeColor="text1"/>
          <w:lang w:eastAsia="en-NZ"/>
        </w:rPr>
      </w:pPr>
      <w:r w:rsidRPr="00BA52CC">
        <w:rPr>
          <w:rFonts w:ascii="PP Mori" w:hAnsi="PP Mori" w:cstheme="minorBidi"/>
          <w:color w:val="000000" w:themeColor="text1"/>
        </w:rPr>
        <w:lastRenderedPageBreak/>
        <w:t>Appendix 1: Fire Service Funding Models</w:t>
      </w:r>
    </w:p>
    <w:tbl>
      <w:tblPr>
        <w:tblW w:w="5000" w:type="pct"/>
        <w:tblBorders>
          <w:top w:val="single" w:sz="6" w:space="0" w:color="666666"/>
          <w:left w:val="single" w:sz="6" w:space="0" w:color="666666"/>
          <w:bottom w:val="single" w:sz="6" w:space="0" w:color="666666"/>
          <w:right w:val="single" w:sz="6" w:space="0" w:color="666666"/>
        </w:tblBorders>
        <w:tblCellMar>
          <w:top w:w="60" w:type="dxa"/>
          <w:left w:w="60" w:type="dxa"/>
          <w:bottom w:w="60" w:type="dxa"/>
          <w:right w:w="60" w:type="dxa"/>
        </w:tblCellMar>
        <w:tblLook w:val="04A0" w:firstRow="1" w:lastRow="0" w:firstColumn="1" w:lastColumn="0" w:noHBand="0" w:noVBand="1"/>
      </w:tblPr>
      <w:tblGrid>
        <w:gridCol w:w="1394"/>
        <w:gridCol w:w="1906"/>
        <w:gridCol w:w="2990"/>
        <w:gridCol w:w="1188"/>
        <w:gridCol w:w="1532"/>
      </w:tblGrid>
      <w:tr w:rsidR="00ED5483" w14:paraId="7134C4F2" w14:textId="77777777" w:rsidTr="00102DAB">
        <w:tc>
          <w:tcPr>
            <w:tcW w:w="774" w:type="pct"/>
            <w:tcBorders>
              <w:top w:val="single" w:sz="6" w:space="0" w:color="666666"/>
              <w:left w:val="single" w:sz="6" w:space="0" w:color="666666"/>
              <w:bottom w:val="single" w:sz="6" w:space="0" w:color="666666"/>
              <w:right w:val="single" w:sz="6" w:space="0" w:color="666666"/>
            </w:tcBorders>
            <w:shd w:val="clear" w:color="auto" w:fill="D9EAF7"/>
            <w:vAlign w:val="center"/>
            <w:hideMark/>
          </w:tcPr>
          <w:p w14:paraId="650C42CE" w14:textId="77777777" w:rsidR="00ED5483" w:rsidRDefault="00ED5483" w:rsidP="00102DAB">
            <w:pPr>
              <w:rPr>
                <w:szCs w:val="20"/>
                <w:lang w:eastAsia="en-NZ"/>
              </w:rPr>
            </w:pPr>
            <w:r>
              <w:rPr>
                <w:b/>
              </w:rPr>
              <w:t>Jurisdiction</w:t>
            </w:r>
          </w:p>
        </w:tc>
        <w:tc>
          <w:tcPr>
            <w:tcW w:w="1058" w:type="pct"/>
            <w:tcBorders>
              <w:top w:val="single" w:sz="6" w:space="0" w:color="666666"/>
              <w:left w:val="single" w:sz="6" w:space="0" w:color="666666"/>
              <w:bottom w:val="single" w:sz="6" w:space="0" w:color="666666"/>
              <w:right w:val="single" w:sz="6" w:space="0" w:color="666666"/>
            </w:tcBorders>
            <w:shd w:val="clear" w:color="auto" w:fill="D9EAF7"/>
            <w:vAlign w:val="center"/>
            <w:hideMark/>
          </w:tcPr>
          <w:p w14:paraId="226BB41A" w14:textId="77777777" w:rsidR="00ED5483" w:rsidRDefault="00ED5483" w:rsidP="00102DAB">
            <w:r>
              <w:rPr>
                <w:b/>
              </w:rPr>
              <w:t>Main funding approach</w:t>
            </w:r>
          </w:p>
        </w:tc>
        <w:tc>
          <w:tcPr>
            <w:tcW w:w="1659" w:type="pct"/>
            <w:tcBorders>
              <w:top w:val="single" w:sz="6" w:space="0" w:color="666666"/>
              <w:left w:val="single" w:sz="6" w:space="0" w:color="666666"/>
              <w:bottom w:val="single" w:sz="6" w:space="0" w:color="666666"/>
              <w:right w:val="single" w:sz="6" w:space="0" w:color="666666"/>
            </w:tcBorders>
            <w:shd w:val="clear" w:color="auto" w:fill="D9EAF7"/>
            <w:vAlign w:val="center"/>
            <w:hideMark/>
          </w:tcPr>
          <w:p w14:paraId="18E90611" w14:textId="77777777" w:rsidR="00ED5483" w:rsidRDefault="00ED5483" w:rsidP="00102DAB">
            <w:r>
              <w:rPr>
                <w:b/>
              </w:rPr>
              <w:t>How it works</w:t>
            </w:r>
          </w:p>
        </w:tc>
        <w:tc>
          <w:tcPr>
            <w:tcW w:w="659" w:type="pct"/>
            <w:tcBorders>
              <w:top w:val="single" w:sz="6" w:space="0" w:color="666666"/>
              <w:left w:val="single" w:sz="6" w:space="0" w:color="666666"/>
              <w:bottom w:val="single" w:sz="6" w:space="0" w:color="666666"/>
              <w:right w:val="single" w:sz="6" w:space="0" w:color="666666"/>
            </w:tcBorders>
            <w:shd w:val="clear" w:color="auto" w:fill="D9EAF7"/>
            <w:vAlign w:val="center"/>
            <w:hideMark/>
          </w:tcPr>
          <w:p w14:paraId="3E9A6BA1" w14:textId="77777777" w:rsidR="00ED5483" w:rsidRDefault="00ED5483" w:rsidP="00102DAB">
            <w:r>
              <w:rPr>
                <w:b/>
              </w:rPr>
              <w:t xml:space="preserve">Indicative </w:t>
            </w:r>
            <w:proofErr w:type="gramStart"/>
            <w:r>
              <w:rPr>
                <w:b/>
              </w:rPr>
              <w:t>annual</w:t>
            </w:r>
            <w:proofErr w:type="gramEnd"/>
            <w:r>
              <w:rPr>
                <w:b/>
              </w:rPr>
              <w:t xml:space="preserve"> spend</w:t>
            </w:r>
          </w:p>
        </w:tc>
        <w:tc>
          <w:tcPr>
            <w:tcW w:w="850" w:type="pct"/>
            <w:tcBorders>
              <w:top w:val="single" w:sz="6" w:space="0" w:color="666666"/>
              <w:left w:val="single" w:sz="6" w:space="0" w:color="666666"/>
              <w:bottom w:val="single" w:sz="6" w:space="0" w:color="666666"/>
              <w:right w:val="single" w:sz="6" w:space="0" w:color="666666"/>
            </w:tcBorders>
            <w:shd w:val="clear" w:color="auto" w:fill="D9EAF7"/>
            <w:vAlign w:val="center"/>
            <w:hideMark/>
          </w:tcPr>
          <w:p w14:paraId="451FD4D5" w14:textId="77777777" w:rsidR="00ED5483" w:rsidRDefault="00ED5483" w:rsidP="00102DAB">
            <w:r>
              <w:rPr>
                <w:b/>
              </w:rPr>
              <w:t>Comment</w:t>
            </w:r>
          </w:p>
        </w:tc>
      </w:tr>
      <w:tr w:rsidR="00ED5483" w14:paraId="66923D47" w14:textId="77777777" w:rsidTr="00102DAB">
        <w:tc>
          <w:tcPr>
            <w:tcW w:w="0" w:type="auto"/>
            <w:tcBorders>
              <w:top w:val="single" w:sz="6" w:space="0" w:color="666666"/>
              <w:left w:val="single" w:sz="6" w:space="0" w:color="666666"/>
              <w:bottom w:val="single" w:sz="6" w:space="0" w:color="666666"/>
              <w:right w:val="single" w:sz="6" w:space="0" w:color="666666"/>
            </w:tcBorders>
            <w:vAlign w:val="center"/>
            <w:hideMark/>
          </w:tcPr>
          <w:p w14:paraId="10746264" w14:textId="77777777" w:rsidR="00ED5483" w:rsidRDefault="00ED5483" w:rsidP="00102DAB">
            <w:r>
              <w:rPr>
                <w:b/>
              </w:rPr>
              <w:t>Western Australia</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5BEF4E26" w14:textId="77777777" w:rsidR="00ED5483" w:rsidRDefault="00ED5483" w:rsidP="00102DAB">
            <w:r>
              <w:t>Emergency Services Levy through property rates</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0695EE03" w14:textId="77777777" w:rsidR="00ED5483" w:rsidRDefault="00ED5483" w:rsidP="00102DAB">
            <w:r>
              <w:t>The Emergency Services Levy is an annual charge paid by property owners and used to fund fire and emergency services across the state, including fire, flood, storm, cyclone, hazardous spill and road crash response.</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40D89346" w14:textId="77777777" w:rsidR="00ED5483" w:rsidRDefault="00ED5483" w:rsidP="00102DAB">
            <w:r>
              <w:t>A$1.0–1.2bn</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4F96C862" w14:textId="77777777" w:rsidR="00ED5483" w:rsidRDefault="00ED5483" w:rsidP="00102DAB">
            <w:r>
              <w:t>Property-based model</w:t>
            </w:r>
          </w:p>
        </w:tc>
      </w:tr>
      <w:tr w:rsidR="00ED5483" w14:paraId="07561878" w14:textId="77777777" w:rsidTr="00102DAB">
        <w:tc>
          <w:tcPr>
            <w:tcW w:w="0" w:type="auto"/>
            <w:tcBorders>
              <w:top w:val="single" w:sz="6" w:space="0" w:color="666666"/>
              <w:left w:val="single" w:sz="6" w:space="0" w:color="666666"/>
              <w:bottom w:val="single" w:sz="6" w:space="0" w:color="666666"/>
              <w:right w:val="single" w:sz="6" w:space="0" w:color="666666"/>
            </w:tcBorders>
            <w:vAlign w:val="center"/>
            <w:hideMark/>
          </w:tcPr>
          <w:p w14:paraId="1345B94B" w14:textId="77777777" w:rsidR="00ED5483" w:rsidRDefault="00ED5483" w:rsidP="00102DAB">
            <w:r>
              <w:rPr>
                <w:b/>
              </w:rPr>
              <w:t>Queensland</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74E22651" w14:textId="77777777" w:rsidR="00ED5483" w:rsidRDefault="00ED5483" w:rsidP="00102DAB">
            <w:r>
              <w:t>Property levy collected through rates</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22E4FAD9" w14:textId="77777777" w:rsidR="00ED5483" w:rsidRDefault="00ED5483" w:rsidP="00102DAB">
            <w:r>
              <w:t>The Emergency Management Levy applies to properties within levy districts and is administered by local governments through rates notices. It is intended to provide a broad and sustainable funding base for fire and emergency services.</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45780F67" w14:textId="77777777" w:rsidR="00ED5483" w:rsidRDefault="00ED5483" w:rsidP="00102DAB">
            <w:r>
              <w:t>A$1.04bn</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29F3C194" w14:textId="77777777" w:rsidR="00ED5483" w:rsidRDefault="00ED5483" w:rsidP="00102DAB">
            <w:r>
              <w:t>Property-based model</w:t>
            </w:r>
          </w:p>
        </w:tc>
      </w:tr>
      <w:tr w:rsidR="00ED5483" w14:paraId="065FF25D" w14:textId="77777777" w:rsidTr="00102DAB">
        <w:tc>
          <w:tcPr>
            <w:tcW w:w="0" w:type="auto"/>
            <w:tcBorders>
              <w:top w:val="single" w:sz="6" w:space="0" w:color="666666"/>
              <w:left w:val="single" w:sz="6" w:space="0" w:color="666666"/>
              <w:bottom w:val="single" w:sz="6" w:space="0" w:color="666666"/>
              <w:right w:val="single" w:sz="6" w:space="0" w:color="666666"/>
            </w:tcBorders>
            <w:vAlign w:val="center"/>
            <w:hideMark/>
          </w:tcPr>
          <w:p w14:paraId="0CF574EF" w14:textId="77777777" w:rsidR="00ED5483" w:rsidRDefault="00ED5483" w:rsidP="00102DAB">
            <w:r>
              <w:rPr>
                <w:b/>
              </w:rPr>
              <w:t>Victoria</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3F93B749" w14:textId="77777777" w:rsidR="00ED5483" w:rsidRDefault="00ED5483" w:rsidP="00102DAB">
            <w:r>
              <w:t>Emergency services levy through property rates</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20EB49C8" w14:textId="77777777" w:rsidR="00ED5483" w:rsidRDefault="00ED5483" w:rsidP="00102DAB">
            <w:r>
              <w:t>The Emergency Services and Volunteers Fund is paid on each property and collected through council rates notices. It funds fire services and a broader range of emergency services responding to floods, storms and other events.</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7D7A4476" w14:textId="77777777" w:rsidR="00ED5483" w:rsidRDefault="00ED5483" w:rsidP="00102DAB">
            <w:r>
              <w:t>A$1.4–1.9bn</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56A155A8" w14:textId="77777777" w:rsidR="00ED5483" w:rsidRDefault="00ED5483" w:rsidP="00102DAB">
            <w:r>
              <w:t>Broader emergency services levy</w:t>
            </w:r>
          </w:p>
        </w:tc>
      </w:tr>
      <w:tr w:rsidR="00ED5483" w14:paraId="31C9F2A6" w14:textId="77777777" w:rsidTr="00102DAB">
        <w:tc>
          <w:tcPr>
            <w:tcW w:w="0" w:type="auto"/>
            <w:tcBorders>
              <w:top w:val="single" w:sz="6" w:space="0" w:color="666666"/>
              <w:left w:val="single" w:sz="6" w:space="0" w:color="666666"/>
              <w:bottom w:val="single" w:sz="6" w:space="0" w:color="666666"/>
              <w:right w:val="single" w:sz="6" w:space="0" w:color="666666"/>
            </w:tcBorders>
            <w:vAlign w:val="center"/>
            <w:hideMark/>
          </w:tcPr>
          <w:p w14:paraId="29E19594" w14:textId="77777777" w:rsidR="00ED5483" w:rsidRDefault="00ED5483" w:rsidP="00102DAB">
            <w:r>
              <w:rPr>
                <w:b/>
              </w:rPr>
              <w:t>South Australia</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4E3426A8" w14:textId="77777777" w:rsidR="00ED5483" w:rsidRDefault="00ED5483" w:rsidP="00102DAB">
            <w:r>
              <w:t>State government funding</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41BBD758" w14:textId="77777777" w:rsidR="00ED5483" w:rsidRDefault="00ED5483" w:rsidP="00102DAB">
            <w:r>
              <w:t xml:space="preserve">Fire services are funded as public sector organisations </w:t>
            </w:r>
            <w:r>
              <w:lastRenderedPageBreak/>
              <w:t>through state government arrangements.</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5E411C6A" w14:textId="77777777" w:rsidR="00ED5483" w:rsidRDefault="00ED5483" w:rsidP="00102DAB">
            <w:r>
              <w:lastRenderedPageBreak/>
              <w:t>A$0.3–0.5bn</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02EBF95C" w14:textId="77777777" w:rsidR="00ED5483" w:rsidRDefault="00ED5483" w:rsidP="00102DAB">
            <w:r>
              <w:t>Government-funded model</w:t>
            </w:r>
          </w:p>
        </w:tc>
      </w:tr>
      <w:tr w:rsidR="00ED5483" w14:paraId="53464F88" w14:textId="77777777" w:rsidTr="00102DAB">
        <w:tc>
          <w:tcPr>
            <w:tcW w:w="0" w:type="auto"/>
            <w:tcBorders>
              <w:top w:val="single" w:sz="6" w:space="0" w:color="666666"/>
              <w:left w:val="single" w:sz="6" w:space="0" w:color="666666"/>
              <w:bottom w:val="single" w:sz="6" w:space="0" w:color="666666"/>
              <w:right w:val="single" w:sz="6" w:space="0" w:color="666666"/>
            </w:tcBorders>
            <w:vAlign w:val="center"/>
            <w:hideMark/>
          </w:tcPr>
          <w:p w14:paraId="2B6E94F0" w14:textId="77777777" w:rsidR="00ED5483" w:rsidRDefault="00ED5483" w:rsidP="00102DAB">
            <w:r>
              <w:rPr>
                <w:b/>
              </w:rPr>
              <w:t>Tasmania</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4C54825E" w14:textId="77777777" w:rsidR="00ED5483" w:rsidRDefault="00ED5483" w:rsidP="00102DAB">
            <w:r>
              <w:t>Mixed levy model</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611A3F6A" w14:textId="77777777" w:rsidR="00ED5483" w:rsidRDefault="00ED5483" w:rsidP="00102DAB">
            <w:r>
              <w:t>Funding comes mainly from a property-based levy, with smaller contributions from motor vehicle and insurance levies, supplemented by government funding. Reforms are underway to simplify the model and reduce reliance on insurance-based levies.</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46FFBB98" w14:textId="02742735" w:rsidR="00ED5483" w:rsidRPr="00BA0CDD" w:rsidRDefault="004B3CFB" w:rsidP="00BA0CDD">
            <w:pPr>
              <w:rPr>
                <w:sz w:val="20"/>
                <w:szCs w:val="20"/>
              </w:rPr>
            </w:pPr>
            <w:r w:rsidRPr="0065195E">
              <w:t>A$</w:t>
            </w:r>
            <w:r>
              <w:t>0.1</w:t>
            </w:r>
            <w:r w:rsidR="004637A2">
              <w:t>–</w:t>
            </w:r>
            <w:r>
              <w:t>0.14bn</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5BCC9A3F" w14:textId="77777777" w:rsidR="00ED5483" w:rsidRDefault="00ED5483" w:rsidP="00102DAB">
            <w:r>
              <w:t>Mixed model</w:t>
            </w:r>
          </w:p>
        </w:tc>
      </w:tr>
      <w:tr w:rsidR="00ED5483" w14:paraId="51007D2D" w14:textId="77777777" w:rsidTr="00102DAB">
        <w:tc>
          <w:tcPr>
            <w:tcW w:w="0" w:type="auto"/>
            <w:tcBorders>
              <w:top w:val="single" w:sz="6" w:space="0" w:color="666666"/>
              <w:left w:val="single" w:sz="6" w:space="0" w:color="666666"/>
              <w:bottom w:val="single" w:sz="6" w:space="0" w:color="666666"/>
              <w:right w:val="single" w:sz="6" w:space="0" w:color="666666"/>
            </w:tcBorders>
            <w:vAlign w:val="center"/>
            <w:hideMark/>
          </w:tcPr>
          <w:p w14:paraId="4B65FCC8" w14:textId="77777777" w:rsidR="00ED5483" w:rsidRDefault="00ED5483" w:rsidP="00102DAB">
            <w:r>
              <w:rPr>
                <w:b/>
              </w:rPr>
              <w:t>NSW</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229F5F79" w14:textId="77777777" w:rsidR="00ED5483" w:rsidRDefault="00ED5483" w:rsidP="00102DAB">
            <w:r>
              <w:t>Insurance levy, with local and state government contributions</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571E5E20" w14:textId="77777777" w:rsidR="00ED5483" w:rsidRDefault="00ED5483" w:rsidP="00102DAB">
            <w:r>
              <w:t>FRNSW funding is met through fixed contribution shares: insurers contribute the majority, with local and state government also contributing. Insurers remit the levy from relevant premium income, with some insurance classes only partly counted.</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430DE22B" w14:textId="77777777" w:rsidR="00ED5483" w:rsidRDefault="00ED5483" w:rsidP="00102DAB">
            <w:r>
              <w:t>A$1.1–1.3bn</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06AA5EB8" w14:textId="77777777" w:rsidR="00ED5483" w:rsidRDefault="00ED5483" w:rsidP="00102DAB">
            <w:r>
              <w:t>Currently insurance-linked model but NSW consulting on replacement of this levy model.</w:t>
            </w:r>
            <w:r>
              <w:rPr>
                <w:rStyle w:val="FootnoteReference"/>
              </w:rPr>
              <w:footnoteReference w:id="10"/>
            </w:r>
          </w:p>
        </w:tc>
      </w:tr>
      <w:tr w:rsidR="00ED5483" w14:paraId="38B71F02" w14:textId="77777777" w:rsidTr="00102DAB">
        <w:tc>
          <w:tcPr>
            <w:tcW w:w="0" w:type="auto"/>
            <w:tcBorders>
              <w:top w:val="single" w:sz="6" w:space="0" w:color="666666"/>
              <w:left w:val="single" w:sz="6" w:space="0" w:color="666666"/>
              <w:bottom w:val="single" w:sz="6" w:space="0" w:color="666666"/>
              <w:right w:val="single" w:sz="6" w:space="0" w:color="666666"/>
            </w:tcBorders>
            <w:vAlign w:val="center"/>
            <w:hideMark/>
          </w:tcPr>
          <w:p w14:paraId="1ACF1A5D" w14:textId="77777777" w:rsidR="00ED5483" w:rsidRDefault="00ED5483" w:rsidP="00102DAB">
            <w:r>
              <w:rPr>
                <w:b/>
              </w:rPr>
              <w:t>Singapore</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163334A9" w14:textId="77777777" w:rsidR="00ED5483" w:rsidRDefault="00ED5483" w:rsidP="00102DAB">
            <w:r>
              <w:t>Central government funding</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4577E6D3" w14:textId="77777777" w:rsidR="00ED5483" w:rsidRDefault="00ED5483" w:rsidP="00102DAB">
            <w:r>
              <w:t>The Singapore Civil Defence Force is funded through annual Parliamentary appropriations from consolidated government revenue.</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23DF05AB" w14:textId="77777777" w:rsidR="00ED5483" w:rsidRDefault="00ED5483" w:rsidP="00102DAB">
            <w:r>
              <w:t>S$0.7–1.2bn</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3DE942DE" w14:textId="77777777" w:rsidR="00ED5483" w:rsidRDefault="00ED5483" w:rsidP="00102DAB">
            <w:r>
              <w:t>Government-funded model</w:t>
            </w:r>
          </w:p>
        </w:tc>
      </w:tr>
      <w:tr w:rsidR="00ED5483" w14:paraId="229849E4" w14:textId="77777777" w:rsidTr="00102DAB">
        <w:tc>
          <w:tcPr>
            <w:tcW w:w="0" w:type="auto"/>
            <w:tcBorders>
              <w:top w:val="single" w:sz="6" w:space="0" w:color="666666"/>
              <w:left w:val="single" w:sz="6" w:space="0" w:color="666666"/>
              <w:bottom w:val="single" w:sz="6" w:space="0" w:color="666666"/>
              <w:right w:val="single" w:sz="6" w:space="0" w:color="666666"/>
            </w:tcBorders>
            <w:vAlign w:val="center"/>
            <w:hideMark/>
          </w:tcPr>
          <w:p w14:paraId="642D59D4" w14:textId="77777777" w:rsidR="00ED5483" w:rsidRDefault="00ED5483" w:rsidP="00102DAB">
            <w:r>
              <w:rPr>
                <w:b/>
              </w:rPr>
              <w:t>Japan</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3ADC0C82" w14:textId="77777777" w:rsidR="00ED5483" w:rsidRDefault="00ED5483" w:rsidP="00102DAB">
            <w:r>
              <w:t>Local government funding with central support</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26D89FAF" w14:textId="77777777" w:rsidR="00ED5483" w:rsidRDefault="00ED5483" w:rsidP="00102DAB">
            <w:r>
              <w:t xml:space="preserve">Fire services are funded mainly by local governments, with central government support. There </w:t>
            </w:r>
            <w:r>
              <w:lastRenderedPageBreak/>
              <w:t>is no dedicated fire levy on households or insurance.</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5F72C8DA" w14:textId="77777777" w:rsidR="00ED5483" w:rsidRDefault="00ED5483" w:rsidP="00102DAB">
            <w:r>
              <w:lastRenderedPageBreak/>
              <w:t>¥1–2tn</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51902996" w14:textId="77777777" w:rsidR="00ED5483" w:rsidRDefault="00ED5483" w:rsidP="00102DAB">
            <w:r>
              <w:t>Public funding model</w:t>
            </w:r>
          </w:p>
        </w:tc>
      </w:tr>
      <w:tr w:rsidR="00ED5483" w14:paraId="015893AF" w14:textId="77777777" w:rsidTr="00102DAB">
        <w:tc>
          <w:tcPr>
            <w:tcW w:w="0" w:type="auto"/>
            <w:tcBorders>
              <w:top w:val="single" w:sz="6" w:space="0" w:color="666666"/>
              <w:left w:val="single" w:sz="6" w:space="0" w:color="666666"/>
              <w:bottom w:val="single" w:sz="6" w:space="0" w:color="666666"/>
              <w:right w:val="single" w:sz="6" w:space="0" w:color="666666"/>
            </w:tcBorders>
            <w:vAlign w:val="center"/>
            <w:hideMark/>
          </w:tcPr>
          <w:p w14:paraId="475786F8" w14:textId="77777777" w:rsidR="00ED5483" w:rsidRDefault="00ED5483" w:rsidP="00102DAB">
            <w:r>
              <w:rPr>
                <w:b/>
              </w:rPr>
              <w:t>South Korea</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03E1BB74" w14:textId="77777777" w:rsidR="00ED5483" w:rsidRDefault="00ED5483" w:rsidP="00102DAB">
            <w:r>
              <w:t>Central government funding and grants</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05E0FF13" w14:textId="77777777" w:rsidR="00ED5483" w:rsidRDefault="00ED5483" w:rsidP="00102DAB">
            <w:r>
              <w:t>Fire services are funded primarily through central government funding, with local government funding also.</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23A63CA4" w14:textId="77777777" w:rsidR="00ED5483" w:rsidRDefault="00ED5483" w:rsidP="00102DAB">
            <w:r>
              <w:rPr>
                <w:rFonts w:ascii="Courier New" w:hAnsi="Courier New" w:cs="Courier New"/>
              </w:rPr>
              <w:t>₩</w:t>
            </w:r>
            <w:r>
              <w:t>2–4tn</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3B713705" w14:textId="77777777" w:rsidR="00ED5483" w:rsidRDefault="00ED5483" w:rsidP="00102DAB">
            <w:r>
              <w:t>Government-funded model</w:t>
            </w:r>
          </w:p>
        </w:tc>
      </w:tr>
      <w:tr w:rsidR="00ED5483" w14:paraId="1A1839AB" w14:textId="77777777" w:rsidTr="00102DAB">
        <w:tc>
          <w:tcPr>
            <w:tcW w:w="0" w:type="auto"/>
            <w:tcBorders>
              <w:top w:val="single" w:sz="6" w:space="0" w:color="666666"/>
              <w:left w:val="single" w:sz="6" w:space="0" w:color="666666"/>
              <w:bottom w:val="single" w:sz="6" w:space="0" w:color="666666"/>
              <w:right w:val="single" w:sz="6" w:space="0" w:color="666666"/>
            </w:tcBorders>
            <w:vAlign w:val="center"/>
            <w:hideMark/>
          </w:tcPr>
          <w:p w14:paraId="3E266462" w14:textId="77777777" w:rsidR="00ED5483" w:rsidRDefault="00ED5483" w:rsidP="00102DAB">
            <w:r>
              <w:rPr>
                <w:b/>
              </w:rPr>
              <w:t>England</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61E5EC33" w14:textId="77777777" w:rsidR="00ED5483" w:rsidRDefault="00ED5483" w:rsidP="00102DAB">
            <w:r>
              <w:t>Central and local government funding</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4CA35BB6" w14:textId="77777777" w:rsidR="00ED5483" w:rsidRDefault="00ED5483" w:rsidP="00102DAB">
            <w:r>
              <w:t>Fire and rescue authorities are funded through a mix of central government income and locally raised revenue. Funding and resources vary depending on the authority structure.</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32022045" w14:textId="77777777" w:rsidR="00ED5483" w:rsidRDefault="00ED5483" w:rsidP="00102DAB">
            <w:r>
              <w:t>£2.5bn</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169CD807" w14:textId="77777777" w:rsidR="00ED5483" w:rsidRDefault="00ED5483" w:rsidP="00102DAB">
            <w:r>
              <w:t>Mixed public funding</w:t>
            </w:r>
          </w:p>
        </w:tc>
      </w:tr>
      <w:tr w:rsidR="00ED5483" w14:paraId="1018F401" w14:textId="77777777" w:rsidTr="00102DAB">
        <w:tc>
          <w:tcPr>
            <w:tcW w:w="0" w:type="auto"/>
            <w:tcBorders>
              <w:top w:val="single" w:sz="6" w:space="0" w:color="666666"/>
              <w:left w:val="single" w:sz="6" w:space="0" w:color="666666"/>
              <w:bottom w:val="single" w:sz="6" w:space="0" w:color="666666"/>
              <w:right w:val="single" w:sz="6" w:space="0" w:color="666666"/>
            </w:tcBorders>
            <w:vAlign w:val="center"/>
            <w:hideMark/>
          </w:tcPr>
          <w:p w14:paraId="2E6926A5" w14:textId="77777777" w:rsidR="00ED5483" w:rsidRDefault="00ED5483" w:rsidP="00102DAB">
            <w:r>
              <w:rPr>
                <w:b/>
              </w:rPr>
              <w:t>Scotland</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12FC5366" w14:textId="77777777" w:rsidR="00ED5483" w:rsidRDefault="00ED5483" w:rsidP="00102DAB">
            <w:r>
              <w:t>Scottish Government funding</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75182028" w14:textId="77777777" w:rsidR="00ED5483" w:rsidRDefault="00ED5483" w:rsidP="00102DAB">
            <w:r>
              <w:t>The Scottish Fire and Rescue Service is funded directly through Scottish Government annual budgets.</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39968FE6" w14:textId="77777777" w:rsidR="00ED5483" w:rsidRDefault="00ED5483" w:rsidP="00102DAB">
            <w:r>
              <w:t>£364.1m</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601B3DA6" w14:textId="77777777" w:rsidR="00ED5483" w:rsidRDefault="00ED5483" w:rsidP="00102DAB">
            <w:r>
              <w:t>Government-funded model</w:t>
            </w:r>
          </w:p>
        </w:tc>
      </w:tr>
      <w:tr w:rsidR="00ED5483" w14:paraId="108E7360" w14:textId="77777777" w:rsidTr="00102DAB">
        <w:tc>
          <w:tcPr>
            <w:tcW w:w="0" w:type="auto"/>
            <w:tcBorders>
              <w:top w:val="single" w:sz="6" w:space="0" w:color="666666"/>
              <w:left w:val="single" w:sz="6" w:space="0" w:color="666666"/>
              <w:bottom w:val="single" w:sz="6" w:space="0" w:color="666666"/>
              <w:right w:val="single" w:sz="6" w:space="0" w:color="666666"/>
            </w:tcBorders>
            <w:vAlign w:val="center"/>
            <w:hideMark/>
          </w:tcPr>
          <w:p w14:paraId="28559704" w14:textId="77777777" w:rsidR="00ED5483" w:rsidRDefault="00ED5483" w:rsidP="00102DAB">
            <w:r>
              <w:rPr>
                <w:b/>
              </w:rPr>
              <w:t>Wales</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768F4752" w14:textId="77777777" w:rsidR="00ED5483" w:rsidRDefault="00ED5483" w:rsidP="00102DAB">
            <w:r>
              <w:t>Local authority funding</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71B010F1" w14:textId="77777777" w:rsidR="00ED5483" w:rsidRDefault="00ED5483" w:rsidP="00102DAB">
            <w:r>
              <w:t>Welsh fire services are funded by councils located in the areas they serve.</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0A86ED02" w14:textId="77777777" w:rsidR="00ED5483" w:rsidRDefault="00ED5483" w:rsidP="00102DAB">
            <w:r>
              <w:t>£0.35–0.45bn</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753F1826" w14:textId="77777777" w:rsidR="00ED5483" w:rsidRDefault="00ED5483" w:rsidP="00102DAB">
            <w:r>
              <w:t>Local public funding</w:t>
            </w:r>
          </w:p>
        </w:tc>
      </w:tr>
      <w:tr w:rsidR="00ED5483" w14:paraId="32521F83" w14:textId="77777777" w:rsidTr="00102DAB">
        <w:tc>
          <w:tcPr>
            <w:tcW w:w="0" w:type="auto"/>
            <w:tcBorders>
              <w:top w:val="single" w:sz="6" w:space="0" w:color="666666"/>
              <w:left w:val="single" w:sz="6" w:space="0" w:color="666666"/>
              <w:bottom w:val="single" w:sz="6" w:space="0" w:color="666666"/>
              <w:right w:val="single" w:sz="6" w:space="0" w:color="666666"/>
            </w:tcBorders>
            <w:vAlign w:val="center"/>
            <w:hideMark/>
          </w:tcPr>
          <w:p w14:paraId="43ECF03C" w14:textId="77777777" w:rsidR="00ED5483" w:rsidRDefault="00ED5483" w:rsidP="00102DAB">
            <w:r>
              <w:rPr>
                <w:b/>
              </w:rPr>
              <w:t>Ireland</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73C8F6C6" w14:textId="77777777" w:rsidR="00ED5483" w:rsidRDefault="00ED5483" w:rsidP="00102DAB">
            <w:r>
              <w:t>Local authority funding with central capital support</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7FB006FB" w14:textId="77777777" w:rsidR="00ED5483" w:rsidRDefault="00ED5483" w:rsidP="00102DAB">
            <w:r>
              <w:t>Day-to-day costs are funded by fire authorities from local authority income. Central government supports capital costs such as fire stations, appliances and emergency equipment.</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1F08D188" w14:textId="77777777" w:rsidR="00ED5483" w:rsidRDefault="00ED5483" w:rsidP="00102DAB">
            <w:r>
              <w:t>€0.3–0.5bn</w:t>
            </w:r>
          </w:p>
        </w:tc>
        <w:tc>
          <w:tcPr>
            <w:tcW w:w="0" w:type="auto"/>
            <w:tcBorders>
              <w:top w:val="single" w:sz="6" w:space="0" w:color="666666"/>
              <w:left w:val="single" w:sz="6" w:space="0" w:color="666666"/>
              <w:bottom w:val="single" w:sz="6" w:space="0" w:color="666666"/>
              <w:right w:val="single" w:sz="6" w:space="0" w:color="666666"/>
            </w:tcBorders>
            <w:vAlign w:val="center"/>
            <w:hideMark/>
          </w:tcPr>
          <w:p w14:paraId="305B1C1C" w14:textId="77777777" w:rsidR="00ED5483" w:rsidRDefault="00ED5483" w:rsidP="00102DAB">
            <w:r>
              <w:t>Local public funding</w:t>
            </w:r>
          </w:p>
        </w:tc>
      </w:tr>
    </w:tbl>
    <w:p w14:paraId="138FA70E" w14:textId="77777777" w:rsidR="00ED5483" w:rsidRPr="00CE7E92" w:rsidRDefault="00ED5483" w:rsidP="00ED5483">
      <w:pPr>
        <w:spacing w:after="120"/>
        <w:rPr>
          <w:sz w:val="20"/>
          <w:szCs w:val="20"/>
        </w:rPr>
      </w:pPr>
    </w:p>
    <w:sectPr w:rsidR="00ED5483" w:rsidRPr="00CE7E92" w:rsidSect="00194CDB">
      <w:footerReference w:type="default" r:id="rId12"/>
      <w:headerReference w:type="first" r:id="rId13"/>
      <w:footerReference w:type="first" r:id="rId14"/>
      <w:pgSz w:w="11906" w:h="16838"/>
      <w:pgMar w:top="1418"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0A8B2" w14:textId="77777777" w:rsidR="000066BC" w:rsidRDefault="000066BC" w:rsidP="006A4972">
      <w:pPr>
        <w:spacing w:after="0" w:line="240" w:lineRule="auto"/>
      </w:pPr>
      <w:r>
        <w:separator/>
      </w:r>
    </w:p>
  </w:endnote>
  <w:endnote w:type="continuationSeparator" w:id="0">
    <w:p w14:paraId="379E6058" w14:textId="77777777" w:rsidR="000066BC" w:rsidRDefault="000066BC" w:rsidP="006A4972">
      <w:pPr>
        <w:spacing w:after="0" w:line="240" w:lineRule="auto"/>
      </w:pPr>
      <w:r>
        <w:continuationSeparator/>
      </w:r>
    </w:p>
  </w:endnote>
  <w:endnote w:type="continuationNotice" w:id="1">
    <w:p w14:paraId="06B81854" w14:textId="77777777" w:rsidR="000066BC" w:rsidRDefault="000066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P Mori">
    <w:panose1 w:val="000005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6329341"/>
      <w:docPartObj>
        <w:docPartGallery w:val="Page Numbers (Bottom of Page)"/>
        <w:docPartUnique/>
      </w:docPartObj>
    </w:sdtPr>
    <w:sdtEndPr>
      <w:rPr>
        <w:noProof/>
      </w:rPr>
    </w:sdtEndPr>
    <w:sdtContent>
      <w:p w14:paraId="1DFA291D" w14:textId="6DF9B7FB" w:rsidR="00F32859" w:rsidRDefault="00F3285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AC9E245" w14:textId="77777777" w:rsidR="00F32859" w:rsidRDefault="00F328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894462"/>
      <w:docPartObj>
        <w:docPartGallery w:val="Page Numbers (Bottom of Page)"/>
        <w:docPartUnique/>
      </w:docPartObj>
    </w:sdtPr>
    <w:sdtEndPr>
      <w:rPr>
        <w:noProof/>
      </w:rPr>
    </w:sdtEndPr>
    <w:sdtContent>
      <w:p w14:paraId="27173D9D" w14:textId="6263DD9C" w:rsidR="00F32859" w:rsidRDefault="00F3285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CAB890" w14:textId="77777777" w:rsidR="00F32859" w:rsidRDefault="00F328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1323C" w14:textId="77777777" w:rsidR="000066BC" w:rsidRDefault="000066BC" w:rsidP="006A4972">
      <w:pPr>
        <w:spacing w:after="0" w:line="240" w:lineRule="auto"/>
      </w:pPr>
      <w:r>
        <w:separator/>
      </w:r>
    </w:p>
  </w:footnote>
  <w:footnote w:type="continuationSeparator" w:id="0">
    <w:p w14:paraId="794895E2" w14:textId="77777777" w:rsidR="000066BC" w:rsidRDefault="000066BC" w:rsidP="006A4972">
      <w:pPr>
        <w:spacing w:after="0" w:line="240" w:lineRule="auto"/>
      </w:pPr>
      <w:r>
        <w:continuationSeparator/>
      </w:r>
    </w:p>
  </w:footnote>
  <w:footnote w:type="continuationNotice" w:id="1">
    <w:p w14:paraId="691FDB87" w14:textId="77777777" w:rsidR="000066BC" w:rsidRDefault="000066BC">
      <w:pPr>
        <w:spacing w:after="0" w:line="240" w:lineRule="auto"/>
      </w:pPr>
    </w:p>
  </w:footnote>
  <w:footnote w:id="2">
    <w:p w14:paraId="766D78FF" w14:textId="77777777" w:rsidR="002D3407" w:rsidRDefault="002D3407" w:rsidP="002D3407">
      <w:pPr>
        <w:pStyle w:val="FootnoteText"/>
      </w:pPr>
      <w:r>
        <w:rPr>
          <w:rStyle w:val="FootnoteReference"/>
        </w:rPr>
        <w:footnoteRef/>
      </w:r>
      <w:r>
        <w:t xml:space="preserve"> Department of Internal Affairs, </w:t>
      </w:r>
      <w:r w:rsidRPr="000E74DD">
        <w:rPr>
          <w:i/>
          <w:iCs/>
        </w:rPr>
        <w:t>Advice on large property owners’ concerns with the Fire and Emergency levy regime</w:t>
      </w:r>
      <w:r>
        <w:t>, 22 November 2018, Appendix A: Comparison of options for FENZ’s funding model.</w:t>
      </w:r>
    </w:p>
  </w:footnote>
  <w:footnote w:id="3">
    <w:p w14:paraId="60C7C971" w14:textId="77777777" w:rsidR="002D3407" w:rsidRDefault="002D3407" w:rsidP="002D3407">
      <w:pPr>
        <w:pStyle w:val="FootnoteText"/>
      </w:pPr>
      <w:r>
        <w:rPr>
          <w:rStyle w:val="FootnoteReference"/>
        </w:rPr>
        <w:footnoteRef/>
      </w:r>
      <w:r>
        <w:t xml:space="preserve"> NZIER, </w:t>
      </w:r>
      <w:r w:rsidRPr="000E74DD">
        <w:rPr>
          <w:i/>
          <w:iCs/>
        </w:rPr>
        <w:t>Better ways of funding fire services in New Zealand: Alternatives to the present insurance levy</w:t>
      </w:r>
      <w:r>
        <w:t xml:space="preserve">, </w:t>
      </w:r>
      <w:r w:rsidRPr="00E83AFD">
        <w:t>report to the Insurance Council of New Zealand, 18 April 2013</w:t>
      </w:r>
      <w:r>
        <w:t>.</w:t>
      </w:r>
    </w:p>
  </w:footnote>
  <w:footnote w:id="4">
    <w:p w14:paraId="6B87E929" w14:textId="77777777" w:rsidR="002D3407" w:rsidRDefault="002D3407" w:rsidP="002D3407">
      <w:pPr>
        <w:pStyle w:val="FootnoteText"/>
      </w:pPr>
      <w:r>
        <w:rPr>
          <w:rStyle w:val="FootnoteReference"/>
        </w:rPr>
        <w:footnoteRef/>
      </w:r>
      <w:r>
        <w:t xml:space="preserve"> Department of Internal Affairs, </w:t>
      </w:r>
      <w:r w:rsidRPr="000E74DD">
        <w:rPr>
          <w:i/>
          <w:iCs/>
        </w:rPr>
        <w:t>Options for improving Fire and Emergency’s funding system</w:t>
      </w:r>
      <w:r w:rsidRPr="00D042EA">
        <w:t xml:space="preserve">, </w:t>
      </w:r>
      <w:r>
        <w:t>31 August 2021, para 6.</w:t>
      </w:r>
    </w:p>
  </w:footnote>
  <w:footnote w:id="5">
    <w:p w14:paraId="5808C66D" w14:textId="77777777" w:rsidR="002D3407" w:rsidRDefault="002D3407" w:rsidP="002D3407">
      <w:pPr>
        <w:pStyle w:val="FootnoteText"/>
      </w:pPr>
      <w:r>
        <w:rPr>
          <w:rStyle w:val="FootnoteReference"/>
        </w:rPr>
        <w:footnoteRef/>
      </w:r>
      <w:r>
        <w:t xml:space="preserve"> Department of Internal Affairs, </w:t>
      </w:r>
      <w:r w:rsidRPr="000E74DD">
        <w:rPr>
          <w:i/>
          <w:iCs/>
        </w:rPr>
        <w:t>Fire and Emergency NZ funding review</w:t>
      </w:r>
      <w:r>
        <w:rPr>
          <w:i/>
          <w:iCs/>
        </w:rPr>
        <w:t>:</w:t>
      </w:r>
      <w:r w:rsidRPr="000E74DD">
        <w:rPr>
          <w:i/>
          <w:iCs/>
        </w:rPr>
        <w:t xml:space="preserve"> submissions summary</w:t>
      </w:r>
      <w:r>
        <w:t>, undated.</w:t>
      </w:r>
    </w:p>
  </w:footnote>
  <w:footnote w:id="6">
    <w:p w14:paraId="63B1193D" w14:textId="77777777" w:rsidR="002D3407" w:rsidRDefault="002D3407" w:rsidP="002D3407">
      <w:pPr>
        <w:pStyle w:val="FootnoteText"/>
      </w:pPr>
      <w:r>
        <w:rPr>
          <w:rStyle w:val="FootnoteReference"/>
        </w:rPr>
        <w:footnoteRef/>
      </w:r>
      <w:r>
        <w:t xml:space="preserve"> NZIER, </w:t>
      </w:r>
      <w:r w:rsidRPr="000E74DD">
        <w:rPr>
          <w:i/>
          <w:iCs/>
        </w:rPr>
        <w:t>Funding the Fire Service Levy on commercial real property</w:t>
      </w:r>
      <w:r>
        <w:t>, report to the Insurance Council of New Zealand, 9 May 2014.</w:t>
      </w:r>
    </w:p>
  </w:footnote>
  <w:footnote w:id="7">
    <w:p w14:paraId="24B47E71" w14:textId="77777777" w:rsidR="00CA323A" w:rsidRDefault="00CA323A" w:rsidP="00CA323A">
      <w:pPr>
        <w:pStyle w:val="FootnoteText"/>
      </w:pPr>
      <w:r>
        <w:rPr>
          <w:rStyle w:val="FootnoteReference"/>
        </w:rPr>
        <w:footnoteRef/>
      </w:r>
      <w:r>
        <w:t xml:space="preserve"> Insurance Council of New Zealand, </w:t>
      </w:r>
      <w:r>
        <w:rPr>
          <w:i/>
          <w:iCs/>
        </w:rPr>
        <w:t xml:space="preserve">ICNZ submission on Fire and Emergency New Zealand Funding Review, </w:t>
      </w:r>
      <w:r>
        <w:t xml:space="preserve">4 February 2020 </w:t>
      </w:r>
      <w:hyperlink r:id="rId1" w:history="1">
        <w:r w:rsidRPr="006F34F1">
          <w:rPr>
            <w:rStyle w:val="Hyperlink"/>
          </w:rPr>
          <w:t>https://www.icnz.org.nz/wp-content/uploads/2025/09/ICNZ_submission_on_FENZ_Funding_Review_consultation_document_030220.pdf</w:t>
        </w:r>
      </w:hyperlink>
      <w:r>
        <w:t>.</w:t>
      </w:r>
    </w:p>
  </w:footnote>
  <w:footnote w:id="8">
    <w:p w14:paraId="3B6387D9" w14:textId="77777777" w:rsidR="00CA323A" w:rsidRDefault="00CA323A" w:rsidP="00CA323A">
      <w:pPr>
        <w:pStyle w:val="FootnoteText"/>
      </w:pPr>
      <w:r w:rsidRPr="00EB64F9">
        <w:rPr>
          <w:rStyle w:val="FootnoteReference"/>
        </w:rPr>
        <w:footnoteRef/>
      </w:r>
      <w:r w:rsidRPr="006201FB">
        <w:rPr>
          <w:i/>
          <w:iCs/>
        </w:rPr>
        <w:t xml:space="preserve"> </w:t>
      </w:r>
      <w:r w:rsidRPr="00DE5B96">
        <w:t xml:space="preserve">Refer to </w:t>
      </w:r>
      <w:r w:rsidRPr="006201FB">
        <w:t>Accident Compensation (Motor Vehicle Account Levies) Regulations 2025</w:t>
      </w:r>
      <w:r w:rsidRPr="00DE5B96">
        <w:t>.</w:t>
      </w:r>
    </w:p>
  </w:footnote>
  <w:footnote w:id="9">
    <w:p w14:paraId="745F5EA7" w14:textId="77777777" w:rsidR="00CA323A" w:rsidRPr="00A41FC2" w:rsidRDefault="00CA323A" w:rsidP="00CA323A">
      <w:pPr>
        <w:pStyle w:val="FootnoteText"/>
      </w:pPr>
      <w:r>
        <w:rPr>
          <w:rStyle w:val="FootnoteReference"/>
        </w:rPr>
        <w:footnoteRef/>
      </w:r>
      <w:r>
        <w:t xml:space="preserve"> New Zealand Forest Owners Association and New Zealand Farm Forestry Association report </w:t>
      </w:r>
      <w:r>
        <w:rPr>
          <w:i/>
          <w:iCs/>
        </w:rPr>
        <w:t>Wildfire Statistics and Forest Fire Management Capabilities Study 2025</w:t>
      </w:r>
      <w:r>
        <w:t>, March 2026 notes “S</w:t>
      </w:r>
      <w:r w:rsidRPr="001822AB">
        <w:t>takeholders in both the forestry and insurance sectors have also raised questions about whether the current funding model adequately reflects the expanded scope of FENZ’s responsibilities.</w:t>
      </w:r>
      <w:r>
        <w:t xml:space="preserve">” </w:t>
      </w:r>
      <w:hyperlink r:id="rId2" w:history="1">
        <w:r w:rsidRPr="00036E58">
          <w:rPr>
            <w:rStyle w:val="Hyperlink"/>
          </w:rPr>
          <w:t>https://www.nzfoa.org.nz/resources/file-libraries-resources/fire/961-wildfire-statistics-and-forest-fire-management-capabilities-study-2025/file</w:t>
        </w:r>
      </w:hyperlink>
      <w:r>
        <w:t>.</w:t>
      </w:r>
    </w:p>
  </w:footnote>
  <w:footnote w:id="10">
    <w:p w14:paraId="09087BFC" w14:textId="0D7AF042" w:rsidR="00ED5483" w:rsidRDefault="00ED5483" w:rsidP="00ED5483">
      <w:pPr>
        <w:pStyle w:val="FootnoteText"/>
      </w:pPr>
      <w:r>
        <w:rPr>
          <w:rStyle w:val="FootnoteReference"/>
        </w:rPr>
        <w:footnoteRef/>
      </w:r>
      <w:r>
        <w:t xml:space="preserve"> </w:t>
      </w:r>
      <w:hyperlink r:id="rId3" w:history="1">
        <w:r w:rsidR="00C33EBE" w:rsidRPr="00B02A6E">
          <w:rPr>
            <w:rStyle w:val="Hyperlink"/>
          </w:rPr>
          <w:t>https://www.parliament.nsw.gov.au/parliamentary-business/committees/committee-details?committeeId=342</w:t>
        </w:r>
      </w:hyperlink>
    </w:p>
    <w:p w14:paraId="0CE956BE" w14:textId="77777777" w:rsidR="00C33EBE" w:rsidRDefault="00C33EBE" w:rsidP="00ED548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08432" w14:textId="511F0C08" w:rsidR="00194CDB" w:rsidRDefault="00FB75FA">
    <w:pPr>
      <w:pStyle w:val="Header"/>
    </w:pPr>
    <w:r>
      <w:rPr>
        <w:noProof/>
      </w:rPr>
      <mc:AlternateContent>
        <mc:Choice Requires="wps">
          <w:drawing>
            <wp:anchor distT="0" distB="0" distL="114300" distR="114300" simplePos="0" relativeHeight="251658241" behindDoc="0" locked="0" layoutInCell="1" allowOverlap="1" wp14:anchorId="2F1D5CAF" wp14:editId="1D9F6FA6">
              <wp:simplePos x="0" y="0"/>
              <wp:positionH relativeFrom="column">
                <wp:posOffset>3904988</wp:posOffset>
              </wp:positionH>
              <wp:positionV relativeFrom="paragraph">
                <wp:posOffset>-363241</wp:posOffset>
              </wp:positionV>
              <wp:extent cx="2638425" cy="1346200"/>
              <wp:effectExtent l="0" t="0" r="28575" b="25400"/>
              <wp:wrapNone/>
              <wp:docPr id="1762428559" name="Text Box 1">
                <a:extLst xmlns:a="http://schemas.openxmlformats.org/drawingml/2006/main">
                  <a:ext uri="{FF2B5EF4-FFF2-40B4-BE49-F238E27FC236}">
                    <a16:creationId xmlns:a16="http://schemas.microsoft.com/office/drawing/2014/main" id="{5AE20B4D-D5FF-4572-99F5-5C29B9ADC158}"/>
                  </a:ext>
                </a:extLst>
              </wp:docPr>
              <wp:cNvGraphicFramePr/>
              <a:graphic xmlns:a="http://schemas.openxmlformats.org/drawingml/2006/main">
                <a:graphicData uri="http://schemas.microsoft.com/office/word/2010/wordprocessingShape">
                  <wps:wsp>
                    <wps:cNvSpPr txBox="1"/>
                    <wps:spPr>
                      <a:xfrm>
                        <a:off x="0" y="0"/>
                        <a:ext cx="2638425" cy="1346200"/>
                      </a:xfrm>
                      <a:prstGeom prst="rect">
                        <a:avLst/>
                      </a:prstGeom>
                      <a:solidFill>
                        <a:schemeClr val="lt1"/>
                      </a:solidFill>
                      <a:ln w="6350">
                        <a:solidFill>
                          <a:schemeClr val="bg1"/>
                        </a:solidFill>
                      </a:ln>
                    </wps:spPr>
                    <wps:txbx>
                      <w:txbxContent>
                        <w:p w14:paraId="09F8F789" w14:textId="77777777" w:rsidR="00FB75FA" w:rsidRPr="004D5CA1" w:rsidRDefault="00FB75FA" w:rsidP="00FB75FA">
                          <w:pPr>
                            <w:spacing w:after="0"/>
                            <w:jc w:val="right"/>
                            <w:rPr>
                              <w:sz w:val="20"/>
                              <w:szCs w:val="20"/>
                            </w:rPr>
                          </w:pPr>
                          <w:r w:rsidRPr="004D5CA1">
                            <w:rPr>
                              <w:sz w:val="20"/>
                              <w:szCs w:val="20"/>
                            </w:rPr>
                            <w:t>Insurance Council of New Zealand</w:t>
                          </w:r>
                        </w:p>
                        <w:p w14:paraId="2F3CE730" w14:textId="77777777" w:rsidR="00FB75FA" w:rsidRPr="004D5CA1" w:rsidRDefault="00FB75FA" w:rsidP="00FB75FA">
                          <w:pPr>
                            <w:spacing w:after="0"/>
                            <w:jc w:val="right"/>
                            <w:rPr>
                              <w:sz w:val="20"/>
                              <w:szCs w:val="20"/>
                            </w:rPr>
                          </w:pPr>
                          <w:r w:rsidRPr="004D5CA1">
                            <w:rPr>
                              <w:sz w:val="20"/>
                              <w:szCs w:val="20"/>
                            </w:rPr>
                            <w:t>40 Bowen Street</w:t>
                          </w:r>
                        </w:p>
                        <w:p w14:paraId="4E7DDA8D" w14:textId="77777777" w:rsidR="00FB75FA" w:rsidRPr="004D5CA1" w:rsidRDefault="00FB75FA" w:rsidP="00FB75FA">
                          <w:pPr>
                            <w:spacing w:after="0"/>
                            <w:jc w:val="right"/>
                            <w:rPr>
                              <w:sz w:val="20"/>
                              <w:szCs w:val="20"/>
                            </w:rPr>
                          </w:pPr>
                          <w:r w:rsidRPr="004D5CA1">
                            <w:rPr>
                              <w:sz w:val="20"/>
                              <w:szCs w:val="20"/>
                            </w:rPr>
                            <w:t>Pipitea, Wellington</w:t>
                          </w:r>
                        </w:p>
                        <w:p w14:paraId="4D364351" w14:textId="77777777" w:rsidR="00FB75FA" w:rsidRPr="004D5CA1" w:rsidRDefault="00FB75FA" w:rsidP="00FB75FA">
                          <w:pPr>
                            <w:spacing w:after="0"/>
                            <w:jc w:val="right"/>
                            <w:rPr>
                              <w:sz w:val="20"/>
                              <w:szCs w:val="20"/>
                            </w:rPr>
                          </w:pPr>
                          <w:r w:rsidRPr="004D5CA1">
                            <w:rPr>
                              <w:sz w:val="20"/>
                              <w:szCs w:val="20"/>
                            </w:rPr>
                            <w:t>6011</w:t>
                          </w:r>
                        </w:p>
                        <w:p w14:paraId="35C14A13" w14:textId="77777777" w:rsidR="00FB75FA" w:rsidRPr="004D5CA1" w:rsidRDefault="00FB75FA" w:rsidP="00FB75FA">
                          <w:pPr>
                            <w:spacing w:after="0"/>
                            <w:jc w:val="right"/>
                            <w:rPr>
                              <w:sz w:val="20"/>
                              <w:szCs w:val="20"/>
                            </w:rPr>
                          </w:pPr>
                          <w:r w:rsidRPr="004D5CA1">
                            <w:rPr>
                              <w:sz w:val="20"/>
                              <w:szCs w:val="20"/>
                            </w:rPr>
                            <w:t xml:space="preserve">Email: </w:t>
                          </w:r>
                          <w:hyperlink r:id="rId1" w:history="1">
                            <w:r w:rsidRPr="004D5CA1">
                              <w:rPr>
                                <w:rStyle w:val="Hyperlink"/>
                                <w:color w:val="C45911" w:themeColor="accent2" w:themeShade="BF"/>
                                <w:sz w:val="20"/>
                                <w:szCs w:val="20"/>
                              </w:rPr>
                              <w:t>icnz@icnz.org.nz</w:t>
                            </w:r>
                          </w:hyperlink>
                        </w:p>
                        <w:p w14:paraId="534397F6" w14:textId="77777777" w:rsidR="00FB75FA" w:rsidRDefault="00FB75FA" w:rsidP="00FB75FA">
                          <w:pPr>
                            <w:spacing w:after="0"/>
                            <w:jc w:val="right"/>
                          </w:pPr>
                          <w:r w:rsidRPr="004D5CA1">
                            <w:rPr>
                              <w:sz w:val="20"/>
                              <w:szCs w:val="20"/>
                            </w:rPr>
                            <w:t xml:space="preserve">Website: </w:t>
                          </w:r>
                          <w:hyperlink r:id="rId2" w:history="1">
                            <w:r w:rsidRPr="004D5CA1">
                              <w:rPr>
                                <w:rStyle w:val="Hyperlink"/>
                                <w:color w:val="C45911" w:themeColor="accent2" w:themeShade="BF"/>
                                <w:sz w:val="20"/>
                                <w:szCs w:val="20"/>
                              </w:rPr>
                              <w:t>www.icnz.org.nz</w:t>
                            </w:r>
                          </w:hyperlink>
                          <w:r w:rsidRPr="00E71A86">
                            <w:rPr>
                              <w:color w:val="C45911" w:themeColor="accent2" w:themeShade="BF"/>
                            </w:rPr>
                            <w:t xml:space="preserve"> </w:t>
                          </w:r>
                        </w:p>
                        <w:p w14:paraId="6329A922" w14:textId="77777777" w:rsidR="00FB75FA" w:rsidRDefault="00FB75FA" w:rsidP="00FB75FA">
                          <w:pPr>
                            <w:spacing w:after="0"/>
                            <w:jc w:val="right"/>
                          </w:pPr>
                        </w:p>
                        <w:p w14:paraId="504A655A" w14:textId="77777777" w:rsidR="00FB75FA" w:rsidRDefault="00FB75FA" w:rsidP="00FB75FA">
                          <w:pPr>
                            <w:spacing w:after="0"/>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1D5CAF" id="_x0000_t202" coordsize="21600,21600" o:spt="202" path="m,l,21600r21600,l21600,xe">
              <v:stroke joinstyle="miter"/>
              <v:path gradientshapeok="t" o:connecttype="rect"/>
            </v:shapetype>
            <v:shape id="Text Box 1" o:spid="_x0000_s1026" type="#_x0000_t202" style="position:absolute;margin-left:307.5pt;margin-top:-28.6pt;width:207.75pt;height:10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" fillcolor="white [3201]" strokecolor="white [3212]" strokeweight=".5pt">
              <v:textbox>
                <w:txbxContent>
                  <w:p w14:paraId="09F8F789" w14:textId="77777777" w:rsidR="00FB75FA" w:rsidRPr="004D5CA1" w:rsidRDefault="00FB75FA" w:rsidP="00FB75FA">
                    <w:pPr>
                      <w:spacing w:after="0"/>
                      <w:jc w:val="right"/>
                      <w:rPr>
                        <w:sz w:val="20"/>
                        <w:szCs w:val="20"/>
                      </w:rPr>
                    </w:pPr>
                    <w:r w:rsidRPr="004D5CA1">
                      <w:rPr>
                        <w:sz w:val="20"/>
                        <w:szCs w:val="20"/>
                      </w:rPr>
                      <w:t>Insurance Council of New Zealand</w:t>
                    </w:r>
                  </w:p>
                  <w:p w14:paraId="2F3CE730" w14:textId="77777777" w:rsidR="00FB75FA" w:rsidRPr="004D5CA1" w:rsidRDefault="00FB75FA" w:rsidP="00FB75FA">
                    <w:pPr>
                      <w:spacing w:after="0"/>
                      <w:jc w:val="right"/>
                      <w:rPr>
                        <w:sz w:val="20"/>
                        <w:szCs w:val="20"/>
                      </w:rPr>
                    </w:pPr>
                    <w:r w:rsidRPr="004D5CA1">
                      <w:rPr>
                        <w:sz w:val="20"/>
                        <w:szCs w:val="20"/>
                      </w:rPr>
                      <w:t>40 Bowen Street</w:t>
                    </w:r>
                  </w:p>
                  <w:p w14:paraId="4E7DDA8D" w14:textId="77777777" w:rsidR="00FB75FA" w:rsidRPr="004D5CA1" w:rsidRDefault="00FB75FA" w:rsidP="00FB75FA">
                    <w:pPr>
                      <w:spacing w:after="0"/>
                      <w:jc w:val="right"/>
                      <w:rPr>
                        <w:sz w:val="20"/>
                        <w:szCs w:val="20"/>
                      </w:rPr>
                    </w:pPr>
                    <w:r w:rsidRPr="004D5CA1">
                      <w:rPr>
                        <w:sz w:val="20"/>
                        <w:szCs w:val="20"/>
                      </w:rPr>
                      <w:t>Pipitea, Wellington</w:t>
                    </w:r>
                  </w:p>
                  <w:p w14:paraId="4D364351" w14:textId="77777777" w:rsidR="00FB75FA" w:rsidRPr="004D5CA1" w:rsidRDefault="00FB75FA" w:rsidP="00FB75FA">
                    <w:pPr>
                      <w:spacing w:after="0"/>
                      <w:jc w:val="right"/>
                      <w:rPr>
                        <w:sz w:val="20"/>
                        <w:szCs w:val="20"/>
                      </w:rPr>
                    </w:pPr>
                    <w:r w:rsidRPr="004D5CA1">
                      <w:rPr>
                        <w:sz w:val="20"/>
                        <w:szCs w:val="20"/>
                      </w:rPr>
                      <w:t>6011</w:t>
                    </w:r>
                  </w:p>
                  <w:p w14:paraId="35C14A13" w14:textId="77777777" w:rsidR="00FB75FA" w:rsidRPr="004D5CA1" w:rsidRDefault="00FB75FA" w:rsidP="00FB75FA">
                    <w:pPr>
                      <w:spacing w:after="0"/>
                      <w:jc w:val="right"/>
                      <w:rPr>
                        <w:sz w:val="20"/>
                        <w:szCs w:val="20"/>
                      </w:rPr>
                    </w:pPr>
                    <w:r w:rsidRPr="004D5CA1">
                      <w:rPr>
                        <w:sz w:val="20"/>
                        <w:szCs w:val="20"/>
                      </w:rPr>
                      <w:t xml:space="preserve">Email: </w:t>
                    </w:r>
                    <w:hyperlink r:id="rId3" w:history="1">
                      <w:r w:rsidRPr="004D5CA1">
                        <w:rPr>
                          <w:rStyle w:val="Hyperlink"/>
                          <w:color w:val="C45911" w:themeColor="accent2" w:themeShade="BF"/>
                          <w:sz w:val="20"/>
                          <w:szCs w:val="20"/>
                        </w:rPr>
                        <w:t>icnz@icnz.org.nz</w:t>
                      </w:r>
                    </w:hyperlink>
                  </w:p>
                  <w:p w14:paraId="534397F6" w14:textId="77777777" w:rsidR="00FB75FA" w:rsidRDefault="00FB75FA" w:rsidP="00FB75FA">
                    <w:pPr>
                      <w:spacing w:after="0"/>
                      <w:jc w:val="right"/>
                    </w:pPr>
                    <w:r w:rsidRPr="004D5CA1">
                      <w:rPr>
                        <w:sz w:val="20"/>
                        <w:szCs w:val="20"/>
                      </w:rPr>
                      <w:t xml:space="preserve">Website: </w:t>
                    </w:r>
                    <w:hyperlink r:id="rId4" w:history="1">
                      <w:r w:rsidRPr="004D5CA1">
                        <w:rPr>
                          <w:rStyle w:val="Hyperlink"/>
                          <w:color w:val="C45911" w:themeColor="accent2" w:themeShade="BF"/>
                          <w:sz w:val="20"/>
                          <w:szCs w:val="20"/>
                        </w:rPr>
                        <w:t>www.icnz.org.nz</w:t>
                      </w:r>
                    </w:hyperlink>
                    <w:r w:rsidRPr="00E71A86">
                      <w:rPr>
                        <w:color w:val="C45911" w:themeColor="accent2" w:themeShade="BF"/>
                      </w:rPr>
                      <w:t xml:space="preserve"> </w:t>
                    </w:r>
                  </w:p>
                  <w:p w14:paraId="6329A922" w14:textId="77777777" w:rsidR="00FB75FA" w:rsidRDefault="00FB75FA" w:rsidP="00FB75FA">
                    <w:pPr>
                      <w:spacing w:after="0"/>
                      <w:jc w:val="right"/>
                    </w:pPr>
                  </w:p>
                  <w:p w14:paraId="504A655A" w14:textId="77777777" w:rsidR="00FB75FA" w:rsidRDefault="00FB75FA" w:rsidP="00FB75FA">
                    <w:pPr>
                      <w:spacing w:after="0"/>
                      <w:jc w:val="right"/>
                    </w:pPr>
                  </w:p>
                </w:txbxContent>
              </v:textbox>
            </v:shape>
          </w:pict>
        </mc:Fallback>
      </mc:AlternateContent>
    </w:r>
    <w:r w:rsidR="003A2228" w:rsidRPr="00B6760E">
      <w:rPr>
        <w:noProof/>
      </w:rPr>
      <w:drawing>
        <wp:anchor distT="0" distB="0" distL="114300" distR="114300" simplePos="0" relativeHeight="251658240" behindDoc="0" locked="0" layoutInCell="1" allowOverlap="1" wp14:anchorId="0720A3E0" wp14:editId="2F5FD1B2">
          <wp:simplePos x="0" y="0"/>
          <wp:positionH relativeFrom="column">
            <wp:posOffset>-583324</wp:posOffset>
          </wp:positionH>
          <wp:positionV relativeFrom="paragraph">
            <wp:posOffset>-276750</wp:posOffset>
          </wp:positionV>
          <wp:extent cx="3001010" cy="603250"/>
          <wp:effectExtent l="0" t="0" r="8890" b="6350"/>
          <wp:wrapSquare wrapText="bothSides"/>
          <wp:docPr id="912975498" name="Picture 912975498" descr="Text&#10;&#10;Description automatically generated">
            <a:extLst xmlns:a="http://schemas.openxmlformats.org/drawingml/2006/main">
              <a:ext uri="{FF2B5EF4-FFF2-40B4-BE49-F238E27FC236}">
                <a16:creationId xmlns:a16="http://schemas.microsoft.com/office/drawing/2014/main" id="{7CA7B816-2028-41EA-AF0E-2C88094EE1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01010" cy="603250"/>
                  </a:xfrm>
                  <a:prstGeom prst="rect">
                    <a:avLst/>
                  </a:prstGeom>
                  <a:noFill/>
                  <a:ln>
                    <a:noFill/>
                  </a:ln>
                </pic:spPr>
              </pic:pic>
            </a:graphicData>
          </a:graphic>
          <wp14:sizeRelH relativeFrom="page">
            <wp14:pctWidth>0</wp14:pctWidth>
          </wp14:sizeRelH>
          <wp14:sizeRelV relativeFrom="page">
            <wp14:pctHeight>0</wp14:pctHeight>
          </wp14:sizeRelV>
        </wp:anchor>
      </w:drawing>
    </w:r>
    <w:r w:rsidR="009630B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0404F"/>
    <w:multiLevelType w:val="hybridMultilevel"/>
    <w:tmpl w:val="A2D4381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22E032AD"/>
    <w:multiLevelType w:val="hybridMultilevel"/>
    <w:tmpl w:val="B1826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46614D"/>
    <w:multiLevelType w:val="hybridMultilevel"/>
    <w:tmpl w:val="D414BF9C"/>
    <w:lvl w:ilvl="0" w:tplc="FFFFFFFF">
      <w:start w:val="36"/>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5938136D"/>
    <w:multiLevelType w:val="hybridMultilevel"/>
    <w:tmpl w:val="7662292A"/>
    <w:lvl w:ilvl="0" w:tplc="7FBA6ADA">
      <w:start w:val="36"/>
      <w:numFmt w:val="decimal"/>
      <w:lvlText w:val="%1"/>
      <w:lvlJc w:val="left"/>
      <w:pPr>
        <w:ind w:left="1440" w:hanging="360"/>
      </w:pPr>
      <w:rPr>
        <w:rFonts w:hint="default"/>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4" w15:restartNumberingAfterBreak="0">
    <w:nsid w:val="5B23188A"/>
    <w:multiLevelType w:val="hybridMultilevel"/>
    <w:tmpl w:val="1C880E6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5" w15:restartNumberingAfterBreak="0">
    <w:nsid w:val="5B4642E5"/>
    <w:multiLevelType w:val="hybridMultilevel"/>
    <w:tmpl w:val="32F088F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6C6523E1"/>
    <w:multiLevelType w:val="hybridMultilevel"/>
    <w:tmpl w:val="6914BA7C"/>
    <w:lvl w:ilvl="0" w:tplc="BA40BC62">
      <w:start w:val="1"/>
      <w:numFmt w:val="decimal"/>
      <w:lvlText w:val="(%1)"/>
      <w:lvlJc w:val="left"/>
      <w:pPr>
        <w:ind w:left="1440" w:hanging="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7" w15:restartNumberingAfterBreak="0">
    <w:nsid w:val="77553CFB"/>
    <w:multiLevelType w:val="hybridMultilevel"/>
    <w:tmpl w:val="6B22917C"/>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77492392">
    <w:abstractNumId w:val="4"/>
  </w:num>
  <w:num w:numId="2" w16cid:durableId="434666797">
    <w:abstractNumId w:val="1"/>
  </w:num>
  <w:num w:numId="3" w16cid:durableId="2042322112">
    <w:abstractNumId w:val="7"/>
  </w:num>
  <w:num w:numId="4" w16cid:durableId="1435517265">
    <w:abstractNumId w:val="0"/>
  </w:num>
  <w:num w:numId="5" w16cid:durableId="1170752368">
    <w:abstractNumId w:val="6"/>
  </w:num>
  <w:num w:numId="6" w16cid:durableId="604963985">
    <w:abstractNumId w:val="3"/>
  </w:num>
  <w:num w:numId="7" w16cid:durableId="164635715">
    <w:abstractNumId w:val="2"/>
  </w:num>
  <w:num w:numId="8" w16cid:durableId="1672564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972"/>
    <w:rsid w:val="0000224E"/>
    <w:rsid w:val="00003382"/>
    <w:rsid w:val="000040B8"/>
    <w:rsid w:val="00004622"/>
    <w:rsid w:val="00005C33"/>
    <w:rsid w:val="000066BC"/>
    <w:rsid w:val="00007C0B"/>
    <w:rsid w:val="00007E07"/>
    <w:rsid w:val="00017D90"/>
    <w:rsid w:val="00023B95"/>
    <w:rsid w:val="00024011"/>
    <w:rsid w:val="00025AF2"/>
    <w:rsid w:val="0003077C"/>
    <w:rsid w:val="00031591"/>
    <w:rsid w:val="00031D07"/>
    <w:rsid w:val="00034F7E"/>
    <w:rsid w:val="00036C0B"/>
    <w:rsid w:val="000371C3"/>
    <w:rsid w:val="0004149C"/>
    <w:rsid w:val="00043248"/>
    <w:rsid w:val="000439E6"/>
    <w:rsid w:val="0004468F"/>
    <w:rsid w:val="00045A08"/>
    <w:rsid w:val="000462CC"/>
    <w:rsid w:val="00047936"/>
    <w:rsid w:val="000514F2"/>
    <w:rsid w:val="00055DAE"/>
    <w:rsid w:val="000562B2"/>
    <w:rsid w:val="00056369"/>
    <w:rsid w:val="00057637"/>
    <w:rsid w:val="00060890"/>
    <w:rsid w:val="000633DA"/>
    <w:rsid w:val="00072FB0"/>
    <w:rsid w:val="00076D6D"/>
    <w:rsid w:val="0008239C"/>
    <w:rsid w:val="000831B7"/>
    <w:rsid w:val="00084FE3"/>
    <w:rsid w:val="00086859"/>
    <w:rsid w:val="000875C4"/>
    <w:rsid w:val="00094BCD"/>
    <w:rsid w:val="000A69D7"/>
    <w:rsid w:val="000B17B1"/>
    <w:rsid w:val="000B1F1D"/>
    <w:rsid w:val="000B30B5"/>
    <w:rsid w:val="000B3A7C"/>
    <w:rsid w:val="000C07FE"/>
    <w:rsid w:val="000C0FAA"/>
    <w:rsid w:val="000C4518"/>
    <w:rsid w:val="000C7B6B"/>
    <w:rsid w:val="000D28E0"/>
    <w:rsid w:val="000D48C9"/>
    <w:rsid w:val="000E0BA4"/>
    <w:rsid w:val="000E220E"/>
    <w:rsid w:val="000E4059"/>
    <w:rsid w:val="000E4603"/>
    <w:rsid w:val="000E5CC4"/>
    <w:rsid w:val="000E6968"/>
    <w:rsid w:val="000F201E"/>
    <w:rsid w:val="000F327A"/>
    <w:rsid w:val="000F36F6"/>
    <w:rsid w:val="000F6B15"/>
    <w:rsid w:val="00105219"/>
    <w:rsid w:val="001166A4"/>
    <w:rsid w:val="00120AD4"/>
    <w:rsid w:val="00121530"/>
    <w:rsid w:val="00124D2A"/>
    <w:rsid w:val="001250E3"/>
    <w:rsid w:val="0012741B"/>
    <w:rsid w:val="00130186"/>
    <w:rsid w:val="0013044A"/>
    <w:rsid w:val="001304E5"/>
    <w:rsid w:val="00131302"/>
    <w:rsid w:val="00132BD9"/>
    <w:rsid w:val="00135B2A"/>
    <w:rsid w:val="00140366"/>
    <w:rsid w:val="00140917"/>
    <w:rsid w:val="00143449"/>
    <w:rsid w:val="001447C2"/>
    <w:rsid w:val="00144812"/>
    <w:rsid w:val="00147492"/>
    <w:rsid w:val="001536EB"/>
    <w:rsid w:val="00155971"/>
    <w:rsid w:val="001614F2"/>
    <w:rsid w:val="00165AD1"/>
    <w:rsid w:val="0017014C"/>
    <w:rsid w:val="00171DBE"/>
    <w:rsid w:val="00181783"/>
    <w:rsid w:val="001863B8"/>
    <w:rsid w:val="00191CE0"/>
    <w:rsid w:val="00194CDB"/>
    <w:rsid w:val="001A5609"/>
    <w:rsid w:val="001B10BA"/>
    <w:rsid w:val="001B6DC4"/>
    <w:rsid w:val="001C0819"/>
    <w:rsid w:val="001C2392"/>
    <w:rsid w:val="001C6869"/>
    <w:rsid w:val="001C7271"/>
    <w:rsid w:val="001D032A"/>
    <w:rsid w:val="001D3CBD"/>
    <w:rsid w:val="001D3FC3"/>
    <w:rsid w:val="001D6DB0"/>
    <w:rsid w:val="001E01F1"/>
    <w:rsid w:val="001E09AD"/>
    <w:rsid w:val="001E159D"/>
    <w:rsid w:val="001E4F42"/>
    <w:rsid w:val="001E59A2"/>
    <w:rsid w:val="001E7E72"/>
    <w:rsid w:val="001F00EB"/>
    <w:rsid w:val="001F0429"/>
    <w:rsid w:val="001F3BD8"/>
    <w:rsid w:val="001F6643"/>
    <w:rsid w:val="002000E0"/>
    <w:rsid w:val="002021A8"/>
    <w:rsid w:val="00204804"/>
    <w:rsid w:val="00205497"/>
    <w:rsid w:val="00205F97"/>
    <w:rsid w:val="00206477"/>
    <w:rsid w:val="0021574C"/>
    <w:rsid w:val="00220958"/>
    <w:rsid w:val="002228EB"/>
    <w:rsid w:val="00222C0C"/>
    <w:rsid w:val="00222D1B"/>
    <w:rsid w:val="00230A74"/>
    <w:rsid w:val="002321DB"/>
    <w:rsid w:val="002326EB"/>
    <w:rsid w:val="00241DC3"/>
    <w:rsid w:val="00243AB3"/>
    <w:rsid w:val="0026025E"/>
    <w:rsid w:val="002722FE"/>
    <w:rsid w:val="00275AF7"/>
    <w:rsid w:val="00281B47"/>
    <w:rsid w:val="00283322"/>
    <w:rsid w:val="002844AF"/>
    <w:rsid w:val="00285111"/>
    <w:rsid w:val="00286220"/>
    <w:rsid w:val="0028643E"/>
    <w:rsid w:val="0028776D"/>
    <w:rsid w:val="00290335"/>
    <w:rsid w:val="00290B2A"/>
    <w:rsid w:val="002940E2"/>
    <w:rsid w:val="00295332"/>
    <w:rsid w:val="00295E08"/>
    <w:rsid w:val="00295F31"/>
    <w:rsid w:val="00296A9A"/>
    <w:rsid w:val="002A116B"/>
    <w:rsid w:val="002A2D25"/>
    <w:rsid w:val="002A3484"/>
    <w:rsid w:val="002A5057"/>
    <w:rsid w:val="002A7F8D"/>
    <w:rsid w:val="002B1671"/>
    <w:rsid w:val="002B4B51"/>
    <w:rsid w:val="002B77E2"/>
    <w:rsid w:val="002C0DCB"/>
    <w:rsid w:val="002C470C"/>
    <w:rsid w:val="002C53AF"/>
    <w:rsid w:val="002D243E"/>
    <w:rsid w:val="002D3407"/>
    <w:rsid w:val="002D66F2"/>
    <w:rsid w:val="002E05BC"/>
    <w:rsid w:val="002E28D0"/>
    <w:rsid w:val="002E4044"/>
    <w:rsid w:val="002E4E4A"/>
    <w:rsid w:val="002F2AC6"/>
    <w:rsid w:val="00302E8F"/>
    <w:rsid w:val="003040C2"/>
    <w:rsid w:val="003142A5"/>
    <w:rsid w:val="00314E5D"/>
    <w:rsid w:val="003152E0"/>
    <w:rsid w:val="003156C8"/>
    <w:rsid w:val="00316028"/>
    <w:rsid w:val="00322C4A"/>
    <w:rsid w:val="00322D58"/>
    <w:rsid w:val="003323C3"/>
    <w:rsid w:val="003333FA"/>
    <w:rsid w:val="00334186"/>
    <w:rsid w:val="00334CE8"/>
    <w:rsid w:val="00336B03"/>
    <w:rsid w:val="00337DB8"/>
    <w:rsid w:val="00341CFC"/>
    <w:rsid w:val="0035191F"/>
    <w:rsid w:val="00365DA5"/>
    <w:rsid w:val="003701BD"/>
    <w:rsid w:val="00372A09"/>
    <w:rsid w:val="00372CF7"/>
    <w:rsid w:val="0037550C"/>
    <w:rsid w:val="0037585D"/>
    <w:rsid w:val="00382F16"/>
    <w:rsid w:val="00383ACE"/>
    <w:rsid w:val="00386959"/>
    <w:rsid w:val="00394A2A"/>
    <w:rsid w:val="00395BE5"/>
    <w:rsid w:val="003979F3"/>
    <w:rsid w:val="003A121A"/>
    <w:rsid w:val="003A2228"/>
    <w:rsid w:val="003A477D"/>
    <w:rsid w:val="003A561D"/>
    <w:rsid w:val="003A738A"/>
    <w:rsid w:val="003A760E"/>
    <w:rsid w:val="003A7F0E"/>
    <w:rsid w:val="003B57C5"/>
    <w:rsid w:val="003C0C13"/>
    <w:rsid w:val="003C79E7"/>
    <w:rsid w:val="003D0BCA"/>
    <w:rsid w:val="003D2677"/>
    <w:rsid w:val="003D2955"/>
    <w:rsid w:val="003D2F94"/>
    <w:rsid w:val="003D4F02"/>
    <w:rsid w:val="003D60C2"/>
    <w:rsid w:val="003D6461"/>
    <w:rsid w:val="003D699B"/>
    <w:rsid w:val="003D7605"/>
    <w:rsid w:val="003E0C0C"/>
    <w:rsid w:val="003E172E"/>
    <w:rsid w:val="003E382C"/>
    <w:rsid w:val="003F2686"/>
    <w:rsid w:val="003F4ABB"/>
    <w:rsid w:val="00403039"/>
    <w:rsid w:val="0040310A"/>
    <w:rsid w:val="00410267"/>
    <w:rsid w:val="00410C45"/>
    <w:rsid w:val="004113D6"/>
    <w:rsid w:val="00414955"/>
    <w:rsid w:val="004214A7"/>
    <w:rsid w:val="00423D75"/>
    <w:rsid w:val="00426618"/>
    <w:rsid w:val="00433A4F"/>
    <w:rsid w:val="00440B1C"/>
    <w:rsid w:val="004414B5"/>
    <w:rsid w:val="00445078"/>
    <w:rsid w:val="00453500"/>
    <w:rsid w:val="00455E0F"/>
    <w:rsid w:val="00461EC3"/>
    <w:rsid w:val="004637A2"/>
    <w:rsid w:val="00467665"/>
    <w:rsid w:val="004701A0"/>
    <w:rsid w:val="00475630"/>
    <w:rsid w:val="00476819"/>
    <w:rsid w:val="00476A63"/>
    <w:rsid w:val="004824FF"/>
    <w:rsid w:val="0048562E"/>
    <w:rsid w:val="0048580F"/>
    <w:rsid w:val="0048755A"/>
    <w:rsid w:val="0048793D"/>
    <w:rsid w:val="0049256D"/>
    <w:rsid w:val="00495523"/>
    <w:rsid w:val="00497F6B"/>
    <w:rsid w:val="004A3151"/>
    <w:rsid w:val="004A3B75"/>
    <w:rsid w:val="004A4FA7"/>
    <w:rsid w:val="004A543A"/>
    <w:rsid w:val="004A7566"/>
    <w:rsid w:val="004B0641"/>
    <w:rsid w:val="004B0AEF"/>
    <w:rsid w:val="004B14BA"/>
    <w:rsid w:val="004B3CFB"/>
    <w:rsid w:val="004B4683"/>
    <w:rsid w:val="004B4861"/>
    <w:rsid w:val="004B4E7E"/>
    <w:rsid w:val="004B5C30"/>
    <w:rsid w:val="004D0C55"/>
    <w:rsid w:val="004D270E"/>
    <w:rsid w:val="004D5BE8"/>
    <w:rsid w:val="004D5CA1"/>
    <w:rsid w:val="004E09F6"/>
    <w:rsid w:val="004E58C4"/>
    <w:rsid w:val="004E73BB"/>
    <w:rsid w:val="004E7F74"/>
    <w:rsid w:val="004F1E8C"/>
    <w:rsid w:val="004F2DB1"/>
    <w:rsid w:val="004F5A98"/>
    <w:rsid w:val="004F7C07"/>
    <w:rsid w:val="00504B45"/>
    <w:rsid w:val="00506E1B"/>
    <w:rsid w:val="005072A3"/>
    <w:rsid w:val="00510113"/>
    <w:rsid w:val="00513F5C"/>
    <w:rsid w:val="00521345"/>
    <w:rsid w:val="0052567D"/>
    <w:rsid w:val="0052610B"/>
    <w:rsid w:val="00527E43"/>
    <w:rsid w:val="00541B96"/>
    <w:rsid w:val="00543EAE"/>
    <w:rsid w:val="00544F7E"/>
    <w:rsid w:val="00545D9C"/>
    <w:rsid w:val="00555291"/>
    <w:rsid w:val="00566B9D"/>
    <w:rsid w:val="005767D7"/>
    <w:rsid w:val="00580A95"/>
    <w:rsid w:val="00584E73"/>
    <w:rsid w:val="00585419"/>
    <w:rsid w:val="00586750"/>
    <w:rsid w:val="0059015D"/>
    <w:rsid w:val="00592C8C"/>
    <w:rsid w:val="005A0875"/>
    <w:rsid w:val="005A7D25"/>
    <w:rsid w:val="005B0770"/>
    <w:rsid w:val="005B16D1"/>
    <w:rsid w:val="005B21D5"/>
    <w:rsid w:val="005B2D57"/>
    <w:rsid w:val="005B32C0"/>
    <w:rsid w:val="005B7886"/>
    <w:rsid w:val="005C36FB"/>
    <w:rsid w:val="005C65B3"/>
    <w:rsid w:val="005D1293"/>
    <w:rsid w:val="005D30E5"/>
    <w:rsid w:val="005D4EA9"/>
    <w:rsid w:val="005E244E"/>
    <w:rsid w:val="005E5D89"/>
    <w:rsid w:val="005F1AE4"/>
    <w:rsid w:val="00600750"/>
    <w:rsid w:val="00605574"/>
    <w:rsid w:val="00605C28"/>
    <w:rsid w:val="00611999"/>
    <w:rsid w:val="0062331C"/>
    <w:rsid w:val="00623982"/>
    <w:rsid w:val="006253E3"/>
    <w:rsid w:val="00626794"/>
    <w:rsid w:val="00630279"/>
    <w:rsid w:val="006308D6"/>
    <w:rsid w:val="0063162C"/>
    <w:rsid w:val="00641AC5"/>
    <w:rsid w:val="0064287C"/>
    <w:rsid w:val="0064466A"/>
    <w:rsid w:val="0064580D"/>
    <w:rsid w:val="00647BCB"/>
    <w:rsid w:val="0065041A"/>
    <w:rsid w:val="006530A3"/>
    <w:rsid w:val="00653902"/>
    <w:rsid w:val="00654FAD"/>
    <w:rsid w:val="006553F1"/>
    <w:rsid w:val="00656E78"/>
    <w:rsid w:val="006571AF"/>
    <w:rsid w:val="006640F0"/>
    <w:rsid w:val="0066449A"/>
    <w:rsid w:val="006677AC"/>
    <w:rsid w:val="00671A06"/>
    <w:rsid w:val="00672B9E"/>
    <w:rsid w:val="00673438"/>
    <w:rsid w:val="006735C8"/>
    <w:rsid w:val="0067570D"/>
    <w:rsid w:val="00685FA0"/>
    <w:rsid w:val="0068705F"/>
    <w:rsid w:val="006906C0"/>
    <w:rsid w:val="006A132E"/>
    <w:rsid w:val="006A1728"/>
    <w:rsid w:val="006A1E0F"/>
    <w:rsid w:val="006A4972"/>
    <w:rsid w:val="006A497F"/>
    <w:rsid w:val="006B0762"/>
    <w:rsid w:val="006B1397"/>
    <w:rsid w:val="006B66FE"/>
    <w:rsid w:val="006C0CC9"/>
    <w:rsid w:val="006C157F"/>
    <w:rsid w:val="006C1B2C"/>
    <w:rsid w:val="006C4D7F"/>
    <w:rsid w:val="006C5496"/>
    <w:rsid w:val="006E0975"/>
    <w:rsid w:val="006E3B7E"/>
    <w:rsid w:val="006E46AA"/>
    <w:rsid w:val="006E4FD9"/>
    <w:rsid w:val="006E5613"/>
    <w:rsid w:val="006E700E"/>
    <w:rsid w:val="006E75F2"/>
    <w:rsid w:val="007012FA"/>
    <w:rsid w:val="00702DBE"/>
    <w:rsid w:val="007112E7"/>
    <w:rsid w:val="00717DD3"/>
    <w:rsid w:val="007216CE"/>
    <w:rsid w:val="00722212"/>
    <w:rsid w:val="00723185"/>
    <w:rsid w:val="00725E8B"/>
    <w:rsid w:val="00726042"/>
    <w:rsid w:val="00733656"/>
    <w:rsid w:val="00733FEF"/>
    <w:rsid w:val="0073712B"/>
    <w:rsid w:val="00741877"/>
    <w:rsid w:val="007421E0"/>
    <w:rsid w:val="00744181"/>
    <w:rsid w:val="007448A9"/>
    <w:rsid w:val="00745019"/>
    <w:rsid w:val="00750346"/>
    <w:rsid w:val="00752A40"/>
    <w:rsid w:val="00752CD0"/>
    <w:rsid w:val="00754E69"/>
    <w:rsid w:val="00761EED"/>
    <w:rsid w:val="007629B7"/>
    <w:rsid w:val="007846E5"/>
    <w:rsid w:val="00785534"/>
    <w:rsid w:val="007876BE"/>
    <w:rsid w:val="0079543A"/>
    <w:rsid w:val="00796856"/>
    <w:rsid w:val="007A01F1"/>
    <w:rsid w:val="007A1D3A"/>
    <w:rsid w:val="007A40DB"/>
    <w:rsid w:val="007A5BDA"/>
    <w:rsid w:val="007B2F09"/>
    <w:rsid w:val="007B43AB"/>
    <w:rsid w:val="007B50A2"/>
    <w:rsid w:val="007C17D0"/>
    <w:rsid w:val="007C301A"/>
    <w:rsid w:val="007C5103"/>
    <w:rsid w:val="007C61D1"/>
    <w:rsid w:val="007D18F4"/>
    <w:rsid w:val="007E2604"/>
    <w:rsid w:val="007E5761"/>
    <w:rsid w:val="007E6B80"/>
    <w:rsid w:val="007F35E9"/>
    <w:rsid w:val="007F3783"/>
    <w:rsid w:val="007F4402"/>
    <w:rsid w:val="0080143F"/>
    <w:rsid w:val="00806704"/>
    <w:rsid w:val="0081678A"/>
    <w:rsid w:val="00820A89"/>
    <w:rsid w:val="00822BE6"/>
    <w:rsid w:val="00823BED"/>
    <w:rsid w:val="00827569"/>
    <w:rsid w:val="008336A7"/>
    <w:rsid w:val="0083490D"/>
    <w:rsid w:val="00834FCF"/>
    <w:rsid w:val="008400B1"/>
    <w:rsid w:val="00840517"/>
    <w:rsid w:val="00841881"/>
    <w:rsid w:val="00844E0D"/>
    <w:rsid w:val="008545B4"/>
    <w:rsid w:val="008558A2"/>
    <w:rsid w:val="00861A82"/>
    <w:rsid w:val="00863CDC"/>
    <w:rsid w:val="0086455B"/>
    <w:rsid w:val="00864822"/>
    <w:rsid w:val="008702FE"/>
    <w:rsid w:val="00870B15"/>
    <w:rsid w:val="0087176A"/>
    <w:rsid w:val="00875FC4"/>
    <w:rsid w:val="008827AB"/>
    <w:rsid w:val="00892620"/>
    <w:rsid w:val="00893F05"/>
    <w:rsid w:val="008959C7"/>
    <w:rsid w:val="008A0367"/>
    <w:rsid w:val="008A611E"/>
    <w:rsid w:val="008B3F7B"/>
    <w:rsid w:val="008B577E"/>
    <w:rsid w:val="008C3380"/>
    <w:rsid w:val="008C5C83"/>
    <w:rsid w:val="008C6F9A"/>
    <w:rsid w:val="008C7663"/>
    <w:rsid w:val="008C7719"/>
    <w:rsid w:val="008D173A"/>
    <w:rsid w:val="008D514C"/>
    <w:rsid w:val="008E056A"/>
    <w:rsid w:val="008E4555"/>
    <w:rsid w:val="008F2D80"/>
    <w:rsid w:val="008F4C2F"/>
    <w:rsid w:val="00900A2E"/>
    <w:rsid w:val="00900A59"/>
    <w:rsid w:val="00910B28"/>
    <w:rsid w:val="00914F2F"/>
    <w:rsid w:val="009222B1"/>
    <w:rsid w:val="009224E3"/>
    <w:rsid w:val="009240CF"/>
    <w:rsid w:val="0093223B"/>
    <w:rsid w:val="00932963"/>
    <w:rsid w:val="00934BDA"/>
    <w:rsid w:val="00941A12"/>
    <w:rsid w:val="00950781"/>
    <w:rsid w:val="00951B0D"/>
    <w:rsid w:val="00951D94"/>
    <w:rsid w:val="00952298"/>
    <w:rsid w:val="00952B76"/>
    <w:rsid w:val="009531E8"/>
    <w:rsid w:val="009541A9"/>
    <w:rsid w:val="00957F4E"/>
    <w:rsid w:val="009630BC"/>
    <w:rsid w:val="00964A28"/>
    <w:rsid w:val="00965D2E"/>
    <w:rsid w:val="009735D9"/>
    <w:rsid w:val="00982BC7"/>
    <w:rsid w:val="00985994"/>
    <w:rsid w:val="00987704"/>
    <w:rsid w:val="00990DEB"/>
    <w:rsid w:val="0099400E"/>
    <w:rsid w:val="0099480A"/>
    <w:rsid w:val="009A448A"/>
    <w:rsid w:val="009A4BF3"/>
    <w:rsid w:val="009A63D0"/>
    <w:rsid w:val="009B0982"/>
    <w:rsid w:val="009B1F41"/>
    <w:rsid w:val="009B4623"/>
    <w:rsid w:val="009B67B6"/>
    <w:rsid w:val="009C0C73"/>
    <w:rsid w:val="009C14AC"/>
    <w:rsid w:val="009C447E"/>
    <w:rsid w:val="009C6104"/>
    <w:rsid w:val="009D3B77"/>
    <w:rsid w:val="009D3E8A"/>
    <w:rsid w:val="009D4EE8"/>
    <w:rsid w:val="009D70E2"/>
    <w:rsid w:val="009E0063"/>
    <w:rsid w:val="009E0142"/>
    <w:rsid w:val="009E37DF"/>
    <w:rsid w:val="009E7087"/>
    <w:rsid w:val="009E7D87"/>
    <w:rsid w:val="009F5F48"/>
    <w:rsid w:val="009F6F01"/>
    <w:rsid w:val="00A02352"/>
    <w:rsid w:val="00A03875"/>
    <w:rsid w:val="00A0434B"/>
    <w:rsid w:val="00A06F6E"/>
    <w:rsid w:val="00A07779"/>
    <w:rsid w:val="00A07C16"/>
    <w:rsid w:val="00A120FA"/>
    <w:rsid w:val="00A15291"/>
    <w:rsid w:val="00A16E97"/>
    <w:rsid w:val="00A17051"/>
    <w:rsid w:val="00A203E2"/>
    <w:rsid w:val="00A21935"/>
    <w:rsid w:val="00A237AD"/>
    <w:rsid w:val="00A23998"/>
    <w:rsid w:val="00A241DC"/>
    <w:rsid w:val="00A277AF"/>
    <w:rsid w:val="00A32271"/>
    <w:rsid w:val="00A326C0"/>
    <w:rsid w:val="00A36E86"/>
    <w:rsid w:val="00A37E8F"/>
    <w:rsid w:val="00A40836"/>
    <w:rsid w:val="00A42529"/>
    <w:rsid w:val="00A44B23"/>
    <w:rsid w:val="00A45C64"/>
    <w:rsid w:val="00A50731"/>
    <w:rsid w:val="00A5450E"/>
    <w:rsid w:val="00A638C2"/>
    <w:rsid w:val="00A649AB"/>
    <w:rsid w:val="00A6609D"/>
    <w:rsid w:val="00A678CA"/>
    <w:rsid w:val="00A70CEA"/>
    <w:rsid w:val="00A71778"/>
    <w:rsid w:val="00A7252C"/>
    <w:rsid w:val="00A7273F"/>
    <w:rsid w:val="00A74C64"/>
    <w:rsid w:val="00A7548C"/>
    <w:rsid w:val="00A77134"/>
    <w:rsid w:val="00A83696"/>
    <w:rsid w:val="00A87360"/>
    <w:rsid w:val="00A9677F"/>
    <w:rsid w:val="00AA503B"/>
    <w:rsid w:val="00AA6D00"/>
    <w:rsid w:val="00AA7145"/>
    <w:rsid w:val="00AB3499"/>
    <w:rsid w:val="00AB3664"/>
    <w:rsid w:val="00AB43E9"/>
    <w:rsid w:val="00AB489A"/>
    <w:rsid w:val="00AC068B"/>
    <w:rsid w:val="00AC190A"/>
    <w:rsid w:val="00AC1974"/>
    <w:rsid w:val="00AC2376"/>
    <w:rsid w:val="00AD0468"/>
    <w:rsid w:val="00AD1152"/>
    <w:rsid w:val="00AD13FE"/>
    <w:rsid w:val="00AD443A"/>
    <w:rsid w:val="00AD46A2"/>
    <w:rsid w:val="00AD74B3"/>
    <w:rsid w:val="00AD7D84"/>
    <w:rsid w:val="00AE1AAD"/>
    <w:rsid w:val="00AF1482"/>
    <w:rsid w:val="00AF152B"/>
    <w:rsid w:val="00AF162F"/>
    <w:rsid w:val="00B00A3D"/>
    <w:rsid w:val="00B0207D"/>
    <w:rsid w:val="00B051CF"/>
    <w:rsid w:val="00B102B6"/>
    <w:rsid w:val="00B12089"/>
    <w:rsid w:val="00B12DD7"/>
    <w:rsid w:val="00B14A22"/>
    <w:rsid w:val="00B150A7"/>
    <w:rsid w:val="00B179C5"/>
    <w:rsid w:val="00B20792"/>
    <w:rsid w:val="00B20823"/>
    <w:rsid w:val="00B2145D"/>
    <w:rsid w:val="00B26055"/>
    <w:rsid w:val="00B27B19"/>
    <w:rsid w:val="00B27DED"/>
    <w:rsid w:val="00B30AD5"/>
    <w:rsid w:val="00B3376E"/>
    <w:rsid w:val="00B34A45"/>
    <w:rsid w:val="00B34C89"/>
    <w:rsid w:val="00B35CF4"/>
    <w:rsid w:val="00B442C7"/>
    <w:rsid w:val="00B50163"/>
    <w:rsid w:val="00B53B79"/>
    <w:rsid w:val="00B5665D"/>
    <w:rsid w:val="00B6272D"/>
    <w:rsid w:val="00B6675E"/>
    <w:rsid w:val="00B6735B"/>
    <w:rsid w:val="00B77AC2"/>
    <w:rsid w:val="00B83778"/>
    <w:rsid w:val="00B91132"/>
    <w:rsid w:val="00BA0CDD"/>
    <w:rsid w:val="00BA13CE"/>
    <w:rsid w:val="00BA34CA"/>
    <w:rsid w:val="00BB27DF"/>
    <w:rsid w:val="00BB40AD"/>
    <w:rsid w:val="00BC1923"/>
    <w:rsid w:val="00BC4285"/>
    <w:rsid w:val="00BC5A8C"/>
    <w:rsid w:val="00BC75D4"/>
    <w:rsid w:val="00BC78C9"/>
    <w:rsid w:val="00BD60CB"/>
    <w:rsid w:val="00BD736A"/>
    <w:rsid w:val="00BE7416"/>
    <w:rsid w:val="00BF24D1"/>
    <w:rsid w:val="00BF25CE"/>
    <w:rsid w:val="00BF4B66"/>
    <w:rsid w:val="00C06612"/>
    <w:rsid w:val="00C06AF9"/>
    <w:rsid w:val="00C072BE"/>
    <w:rsid w:val="00C21BBE"/>
    <w:rsid w:val="00C2555D"/>
    <w:rsid w:val="00C265A0"/>
    <w:rsid w:val="00C27D46"/>
    <w:rsid w:val="00C27E1A"/>
    <w:rsid w:val="00C319F6"/>
    <w:rsid w:val="00C32C98"/>
    <w:rsid w:val="00C33EBE"/>
    <w:rsid w:val="00C41B13"/>
    <w:rsid w:val="00C439C7"/>
    <w:rsid w:val="00C60BFE"/>
    <w:rsid w:val="00C60EB1"/>
    <w:rsid w:val="00C62788"/>
    <w:rsid w:val="00C660A1"/>
    <w:rsid w:val="00C668B3"/>
    <w:rsid w:val="00C66FD7"/>
    <w:rsid w:val="00C672F7"/>
    <w:rsid w:val="00C72ACA"/>
    <w:rsid w:val="00C72C49"/>
    <w:rsid w:val="00C72D25"/>
    <w:rsid w:val="00C73504"/>
    <w:rsid w:val="00C73CA2"/>
    <w:rsid w:val="00C751AE"/>
    <w:rsid w:val="00C90D9D"/>
    <w:rsid w:val="00C94AFE"/>
    <w:rsid w:val="00CA1E17"/>
    <w:rsid w:val="00CA2A82"/>
    <w:rsid w:val="00CA323A"/>
    <w:rsid w:val="00CA3C7F"/>
    <w:rsid w:val="00CA3D32"/>
    <w:rsid w:val="00CB0237"/>
    <w:rsid w:val="00CB0700"/>
    <w:rsid w:val="00CB4FC6"/>
    <w:rsid w:val="00CB5691"/>
    <w:rsid w:val="00CB6A66"/>
    <w:rsid w:val="00CB6E81"/>
    <w:rsid w:val="00CC5753"/>
    <w:rsid w:val="00CD4647"/>
    <w:rsid w:val="00CD59A0"/>
    <w:rsid w:val="00CD6B27"/>
    <w:rsid w:val="00CD7367"/>
    <w:rsid w:val="00CE1565"/>
    <w:rsid w:val="00CE1ECD"/>
    <w:rsid w:val="00CE270A"/>
    <w:rsid w:val="00CE37A7"/>
    <w:rsid w:val="00CE385C"/>
    <w:rsid w:val="00CE7A73"/>
    <w:rsid w:val="00CE7E92"/>
    <w:rsid w:val="00CF2F29"/>
    <w:rsid w:val="00CF44FD"/>
    <w:rsid w:val="00CF4927"/>
    <w:rsid w:val="00D0177D"/>
    <w:rsid w:val="00D077E2"/>
    <w:rsid w:val="00D12EDA"/>
    <w:rsid w:val="00D20C50"/>
    <w:rsid w:val="00D21891"/>
    <w:rsid w:val="00D247D0"/>
    <w:rsid w:val="00D32BD4"/>
    <w:rsid w:val="00D3328D"/>
    <w:rsid w:val="00D3702D"/>
    <w:rsid w:val="00D43FD8"/>
    <w:rsid w:val="00D44F4D"/>
    <w:rsid w:val="00D52D5D"/>
    <w:rsid w:val="00D537D2"/>
    <w:rsid w:val="00D60531"/>
    <w:rsid w:val="00D60D8F"/>
    <w:rsid w:val="00D6302D"/>
    <w:rsid w:val="00D641EC"/>
    <w:rsid w:val="00D70CE7"/>
    <w:rsid w:val="00D71765"/>
    <w:rsid w:val="00D717B4"/>
    <w:rsid w:val="00D725BE"/>
    <w:rsid w:val="00D75777"/>
    <w:rsid w:val="00D777FA"/>
    <w:rsid w:val="00D77E49"/>
    <w:rsid w:val="00D81233"/>
    <w:rsid w:val="00D81537"/>
    <w:rsid w:val="00D82331"/>
    <w:rsid w:val="00D83853"/>
    <w:rsid w:val="00D877B6"/>
    <w:rsid w:val="00D9380A"/>
    <w:rsid w:val="00D95FFC"/>
    <w:rsid w:val="00DA052B"/>
    <w:rsid w:val="00DA25BA"/>
    <w:rsid w:val="00DA4B17"/>
    <w:rsid w:val="00DA76B3"/>
    <w:rsid w:val="00DB1243"/>
    <w:rsid w:val="00DB28F2"/>
    <w:rsid w:val="00DB2AF2"/>
    <w:rsid w:val="00DB53D3"/>
    <w:rsid w:val="00DC0080"/>
    <w:rsid w:val="00DC1217"/>
    <w:rsid w:val="00DC21A6"/>
    <w:rsid w:val="00DC34E9"/>
    <w:rsid w:val="00DC414C"/>
    <w:rsid w:val="00DC53FD"/>
    <w:rsid w:val="00DD0813"/>
    <w:rsid w:val="00DD1971"/>
    <w:rsid w:val="00DD7AC8"/>
    <w:rsid w:val="00DE2FBF"/>
    <w:rsid w:val="00DE2FD3"/>
    <w:rsid w:val="00DE3449"/>
    <w:rsid w:val="00DF1AC2"/>
    <w:rsid w:val="00DF54B9"/>
    <w:rsid w:val="00DF5C52"/>
    <w:rsid w:val="00E001FB"/>
    <w:rsid w:val="00E01F8D"/>
    <w:rsid w:val="00E07CB3"/>
    <w:rsid w:val="00E10446"/>
    <w:rsid w:val="00E1100F"/>
    <w:rsid w:val="00E17203"/>
    <w:rsid w:val="00E17BF8"/>
    <w:rsid w:val="00E203F7"/>
    <w:rsid w:val="00E23B36"/>
    <w:rsid w:val="00E23F37"/>
    <w:rsid w:val="00E24EB2"/>
    <w:rsid w:val="00E27370"/>
    <w:rsid w:val="00E33CAF"/>
    <w:rsid w:val="00E376A4"/>
    <w:rsid w:val="00E4769D"/>
    <w:rsid w:val="00E523A8"/>
    <w:rsid w:val="00E60ABA"/>
    <w:rsid w:val="00E65640"/>
    <w:rsid w:val="00E66147"/>
    <w:rsid w:val="00E71A86"/>
    <w:rsid w:val="00E727E1"/>
    <w:rsid w:val="00E74913"/>
    <w:rsid w:val="00E758B0"/>
    <w:rsid w:val="00E75C70"/>
    <w:rsid w:val="00E8037B"/>
    <w:rsid w:val="00E8182B"/>
    <w:rsid w:val="00E81D55"/>
    <w:rsid w:val="00E8308D"/>
    <w:rsid w:val="00E84799"/>
    <w:rsid w:val="00E91A77"/>
    <w:rsid w:val="00E93C28"/>
    <w:rsid w:val="00E95503"/>
    <w:rsid w:val="00E95EEF"/>
    <w:rsid w:val="00E97CE9"/>
    <w:rsid w:val="00EA0762"/>
    <w:rsid w:val="00EA0BD6"/>
    <w:rsid w:val="00EA6FC0"/>
    <w:rsid w:val="00EA7431"/>
    <w:rsid w:val="00EB321B"/>
    <w:rsid w:val="00EB4546"/>
    <w:rsid w:val="00EB45CA"/>
    <w:rsid w:val="00EB6687"/>
    <w:rsid w:val="00EB7C67"/>
    <w:rsid w:val="00EC10CD"/>
    <w:rsid w:val="00EC1B24"/>
    <w:rsid w:val="00EC2261"/>
    <w:rsid w:val="00EC27AD"/>
    <w:rsid w:val="00EC4E22"/>
    <w:rsid w:val="00EC5B0F"/>
    <w:rsid w:val="00ED31F0"/>
    <w:rsid w:val="00ED3A49"/>
    <w:rsid w:val="00ED41FB"/>
    <w:rsid w:val="00ED42C4"/>
    <w:rsid w:val="00ED5483"/>
    <w:rsid w:val="00EE38CD"/>
    <w:rsid w:val="00EE69A0"/>
    <w:rsid w:val="00EF1E73"/>
    <w:rsid w:val="00F01FF2"/>
    <w:rsid w:val="00F0371B"/>
    <w:rsid w:val="00F04935"/>
    <w:rsid w:val="00F110CE"/>
    <w:rsid w:val="00F14E67"/>
    <w:rsid w:val="00F15B9D"/>
    <w:rsid w:val="00F16274"/>
    <w:rsid w:val="00F2507C"/>
    <w:rsid w:val="00F261EC"/>
    <w:rsid w:val="00F3219D"/>
    <w:rsid w:val="00F32859"/>
    <w:rsid w:val="00F32D8A"/>
    <w:rsid w:val="00F44CF7"/>
    <w:rsid w:val="00F45D45"/>
    <w:rsid w:val="00F46A22"/>
    <w:rsid w:val="00F46E3B"/>
    <w:rsid w:val="00F55C07"/>
    <w:rsid w:val="00F57AE4"/>
    <w:rsid w:val="00F644F8"/>
    <w:rsid w:val="00F645B2"/>
    <w:rsid w:val="00F64A28"/>
    <w:rsid w:val="00F7249F"/>
    <w:rsid w:val="00F747BA"/>
    <w:rsid w:val="00F76D06"/>
    <w:rsid w:val="00F7736A"/>
    <w:rsid w:val="00F773A8"/>
    <w:rsid w:val="00F81F6A"/>
    <w:rsid w:val="00F84B38"/>
    <w:rsid w:val="00F860B5"/>
    <w:rsid w:val="00F962DB"/>
    <w:rsid w:val="00FA10CE"/>
    <w:rsid w:val="00FA3395"/>
    <w:rsid w:val="00FA515B"/>
    <w:rsid w:val="00FA58EC"/>
    <w:rsid w:val="00FA6D57"/>
    <w:rsid w:val="00FB113C"/>
    <w:rsid w:val="00FB75FA"/>
    <w:rsid w:val="00FC0963"/>
    <w:rsid w:val="00FC6C08"/>
    <w:rsid w:val="00FC70F4"/>
    <w:rsid w:val="00FD1703"/>
    <w:rsid w:val="00FD4AB4"/>
    <w:rsid w:val="00FD6B8A"/>
    <w:rsid w:val="00FD7F1E"/>
    <w:rsid w:val="00FE18C8"/>
    <w:rsid w:val="00FE1E23"/>
    <w:rsid w:val="00FE5BBA"/>
    <w:rsid w:val="00FE6C9E"/>
    <w:rsid w:val="00FE7AAD"/>
    <w:rsid w:val="00FF0E1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10929"/>
  <w15:chartTrackingRefBased/>
  <w15:docId w15:val="{A319512A-0482-4514-993B-8A0CD8B28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P Mori" w:eastAsiaTheme="minorHAnsi" w:hAnsi="PP Mor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4E9"/>
  </w:style>
  <w:style w:type="paragraph" w:styleId="Heading1">
    <w:name w:val="heading 1"/>
    <w:basedOn w:val="Normal"/>
    <w:next w:val="Normal"/>
    <w:link w:val="Heading1Char"/>
    <w:uiPriority w:val="9"/>
    <w:qFormat/>
    <w:rsid w:val="007336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D340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49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4972"/>
  </w:style>
  <w:style w:type="paragraph" w:styleId="Footer">
    <w:name w:val="footer"/>
    <w:basedOn w:val="Normal"/>
    <w:link w:val="FooterChar"/>
    <w:uiPriority w:val="99"/>
    <w:unhideWhenUsed/>
    <w:rsid w:val="006A49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4972"/>
  </w:style>
  <w:style w:type="paragraph" w:styleId="ListParagraph">
    <w:name w:val="List Paragraph"/>
    <w:basedOn w:val="Normal"/>
    <w:uiPriority w:val="34"/>
    <w:qFormat/>
    <w:rsid w:val="006A4972"/>
    <w:pPr>
      <w:spacing w:after="200" w:line="252" w:lineRule="auto"/>
      <w:ind w:left="720"/>
      <w:contextualSpacing/>
    </w:pPr>
    <w:rPr>
      <w:rFonts w:ascii="Calibri Light" w:eastAsia="Times New Roman" w:hAnsi="Calibri Light" w:cs="Times New Roman"/>
      <w:bCs/>
      <w:kern w:val="0"/>
      <w14:ligatures w14:val="none"/>
    </w:rPr>
  </w:style>
  <w:style w:type="paragraph" w:customStyle="1" w:styleId="xmsonormal">
    <w:name w:val="x_msonormal"/>
    <w:basedOn w:val="Normal"/>
    <w:rsid w:val="00031D07"/>
    <w:pPr>
      <w:spacing w:after="0" w:line="240" w:lineRule="auto"/>
    </w:pPr>
    <w:rPr>
      <w:rFonts w:ascii="Aptos" w:hAnsi="Aptos" w:cs="Aptos"/>
      <w:bCs/>
      <w:kern w:val="0"/>
      <w:sz w:val="24"/>
      <w:szCs w:val="24"/>
      <w:lang w:eastAsia="en-NZ"/>
      <w14:ligatures w14:val="none"/>
    </w:rPr>
  </w:style>
  <w:style w:type="character" w:styleId="Hyperlink">
    <w:name w:val="Hyperlink"/>
    <w:basedOn w:val="DefaultParagraphFont"/>
    <w:uiPriority w:val="99"/>
    <w:unhideWhenUsed/>
    <w:rsid w:val="00285111"/>
    <w:rPr>
      <w:color w:val="467886"/>
      <w:u w:val="single"/>
    </w:rPr>
  </w:style>
  <w:style w:type="character" w:styleId="UnresolvedMention">
    <w:name w:val="Unresolved Mention"/>
    <w:basedOn w:val="DefaultParagraphFont"/>
    <w:uiPriority w:val="99"/>
    <w:semiHidden/>
    <w:unhideWhenUsed/>
    <w:rsid w:val="004F5A98"/>
    <w:rPr>
      <w:color w:val="605E5C"/>
      <w:shd w:val="clear" w:color="auto" w:fill="E1DFDD"/>
    </w:rPr>
  </w:style>
  <w:style w:type="paragraph" w:styleId="FootnoteText">
    <w:name w:val="footnote text"/>
    <w:basedOn w:val="Normal"/>
    <w:link w:val="FootnoteTextChar"/>
    <w:uiPriority w:val="99"/>
    <w:semiHidden/>
    <w:unhideWhenUsed/>
    <w:rsid w:val="008D514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514C"/>
    <w:rPr>
      <w:sz w:val="20"/>
      <w:szCs w:val="20"/>
    </w:rPr>
  </w:style>
  <w:style w:type="character" w:styleId="FootnoteReference">
    <w:name w:val="footnote reference"/>
    <w:basedOn w:val="DefaultParagraphFont"/>
    <w:uiPriority w:val="99"/>
    <w:semiHidden/>
    <w:unhideWhenUsed/>
    <w:rsid w:val="008D514C"/>
    <w:rPr>
      <w:vertAlign w:val="superscript"/>
    </w:rPr>
  </w:style>
  <w:style w:type="paragraph" w:styleId="Revision">
    <w:name w:val="Revision"/>
    <w:hidden/>
    <w:uiPriority w:val="99"/>
    <w:semiHidden/>
    <w:rsid w:val="006253E3"/>
    <w:pPr>
      <w:spacing w:after="0" w:line="240" w:lineRule="auto"/>
    </w:pPr>
  </w:style>
  <w:style w:type="paragraph" w:styleId="Title">
    <w:name w:val="Title"/>
    <w:basedOn w:val="Normal"/>
    <w:next w:val="Normal"/>
    <w:link w:val="TitleChar"/>
    <w:uiPriority w:val="10"/>
    <w:qFormat/>
    <w:rsid w:val="006553F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53F1"/>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73365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D340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551912">
      <w:bodyDiv w:val="1"/>
      <w:marLeft w:val="0"/>
      <w:marRight w:val="0"/>
      <w:marTop w:val="0"/>
      <w:marBottom w:val="0"/>
      <w:divBdr>
        <w:top w:val="none" w:sz="0" w:space="0" w:color="auto"/>
        <w:left w:val="none" w:sz="0" w:space="0" w:color="auto"/>
        <w:bottom w:val="none" w:sz="0" w:space="0" w:color="auto"/>
        <w:right w:val="none" w:sz="0" w:space="0" w:color="auto"/>
      </w:divBdr>
    </w:div>
    <w:div w:id="544953445">
      <w:bodyDiv w:val="1"/>
      <w:marLeft w:val="0"/>
      <w:marRight w:val="0"/>
      <w:marTop w:val="0"/>
      <w:marBottom w:val="0"/>
      <w:divBdr>
        <w:top w:val="none" w:sz="0" w:space="0" w:color="auto"/>
        <w:left w:val="none" w:sz="0" w:space="0" w:color="auto"/>
        <w:bottom w:val="none" w:sz="0" w:space="0" w:color="auto"/>
        <w:right w:val="none" w:sz="0" w:space="0" w:color="auto"/>
      </w:divBdr>
    </w:div>
    <w:div w:id="708651272">
      <w:bodyDiv w:val="1"/>
      <w:marLeft w:val="0"/>
      <w:marRight w:val="0"/>
      <w:marTop w:val="0"/>
      <w:marBottom w:val="0"/>
      <w:divBdr>
        <w:top w:val="none" w:sz="0" w:space="0" w:color="auto"/>
        <w:left w:val="none" w:sz="0" w:space="0" w:color="auto"/>
        <w:bottom w:val="none" w:sz="0" w:space="0" w:color="auto"/>
        <w:right w:val="none" w:sz="0" w:space="0" w:color="auto"/>
      </w:divBdr>
    </w:div>
    <w:div w:id="894701489">
      <w:bodyDiv w:val="1"/>
      <w:marLeft w:val="0"/>
      <w:marRight w:val="0"/>
      <w:marTop w:val="0"/>
      <w:marBottom w:val="0"/>
      <w:divBdr>
        <w:top w:val="none" w:sz="0" w:space="0" w:color="auto"/>
        <w:left w:val="none" w:sz="0" w:space="0" w:color="auto"/>
        <w:bottom w:val="none" w:sz="0" w:space="0" w:color="auto"/>
        <w:right w:val="none" w:sz="0" w:space="0" w:color="auto"/>
      </w:divBdr>
    </w:div>
    <w:div w:id="1278952871">
      <w:bodyDiv w:val="1"/>
      <w:marLeft w:val="0"/>
      <w:marRight w:val="0"/>
      <w:marTop w:val="0"/>
      <w:marBottom w:val="0"/>
      <w:divBdr>
        <w:top w:val="none" w:sz="0" w:space="0" w:color="auto"/>
        <w:left w:val="none" w:sz="0" w:space="0" w:color="auto"/>
        <w:bottom w:val="none" w:sz="0" w:space="0" w:color="auto"/>
        <w:right w:val="none" w:sz="0" w:space="0" w:color="auto"/>
      </w:divBdr>
    </w:div>
    <w:div w:id="1418210905">
      <w:bodyDiv w:val="1"/>
      <w:marLeft w:val="0"/>
      <w:marRight w:val="0"/>
      <w:marTop w:val="0"/>
      <w:marBottom w:val="0"/>
      <w:divBdr>
        <w:top w:val="none" w:sz="0" w:space="0" w:color="auto"/>
        <w:left w:val="none" w:sz="0" w:space="0" w:color="auto"/>
        <w:bottom w:val="none" w:sz="0" w:space="0" w:color="auto"/>
        <w:right w:val="none" w:sz="0" w:space="0" w:color="auto"/>
      </w:divBdr>
    </w:div>
    <w:div w:id="1447846563">
      <w:bodyDiv w:val="1"/>
      <w:marLeft w:val="0"/>
      <w:marRight w:val="0"/>
      <w:marTop w:val="0"/>
      <w:marBottom w:val="0"/>
      <w:divBdr>
        <w:top w:val="none" w:sz="0" w:space="0" w:color="auto"/>
        <w:left w:val="none" w:sz="0" w:space="0" w:color="auto"/>
        <w:bottom w:val="none" w:sz="0" w:space="0" w:color="auto"/>
        <w:right w:val="none" w:sz="0" w:space="0" w:color="auto"/>
      </w:divBdr>
    </w:div>
    <w:div w:id="1483503689">
      <w:bodyDiv w:val="1"/>
      <w:marLeft w:val="0"/>
      <w:marRight w:val="0"/>
      <w:marTop w:val="0"/>
      <w:marBottom w:val="0"/>
      <w:divBdr>
        <w:top w:val="none" w:sz="0" w:space="0" w:color="auto"/>
        <w:left w:val="none" w:sz="0" w:space="0" w:color="auto"/>
        <w:bottom w:val="none" w:sz="0" w:space="0" w:color="auto"/>
        <w:right w:val="none" w:sz="0" w:space="0" w:color="auto"/>
      </w:divBdr>
    </w:div>
    <w:div w:id="2007320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parliament.nsw.gov.au/parliamentary-business/committees/committee-details?committeeId=342" TargetMode="External"/><Relationship Id="rId2" Type="http://schemas.openxmlformats.org/officeDocument/2006/relationships/hyperlink" Target="https://www.nzfoa.org.nz/resources/file-libraries-resources/fire/961-wildfire-statistics-and-forest-fire-management-capabilities-study-2025/file" TargetMode="External"/><Relationship Id="rId1" Type="http://schemas.openxmlformats.org/officeDocument/2006/relationships/hyperlink" Target="https://www.icnz.org.nz/wp-content/uploads/2025/09/ICNZ_submission_on_FENZ_Funding_Review_consultation_document_030220.pdf"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icnz@icnz.org.nz" TargetMode="External"/><Relationship Id="rId2" Type="http://schemas.openxmlformats.org/officeDocument/2006/relationships/hyperlink" Target="http://www.icnz.org.nz" TargetMode="External"/><Relationship Id="rId1" Type="http://schemas.openxmlformats.org/officeDocument/2006/relationships/hyperlink" Target="mailto:icnz@icnz.org.nz" TargetMode="External"/><Relationship Id="rId5" Type="http://schemas.openxmlformats.org/officeDocument/2006/relationships/image" Target="media/image2.png"/><Relationship Id="rId4" Type="http://schemas.openxmlformats.org/officeDocument/2006/relationships/hyperlink" Target="http://www.icnz.org.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D40A7AE73E124AB3F6B8361CDCDD65" ma:contentTypeVersion="16" ma:contentTypeDescription="Create a new document." ma:contentTypeScope="" ma:versionID="e63b09d4215e369a90549188d33a33df">
  <xsd:schema xmlns:xsd="http://www.w3.org/2001/XMLSchema" xmlns:xs="http://www.w3.org/2001/XMLSchema" xmlns:p="http://schemas.microsoft.com/office/2006/metadata/properties" xmlns:ns2="5f784674-5bce-4588-b01d-c0ddffda7b68" xmlns:ns3="e62931a1-5a10-4ca1-b3f3-7fbbb4bc7ce9" targetNamespace="http://schemas.microsoft.com/office/2006/metadata/properties" ma:root="true" ma:fieldsID="c4f7b8aa17f9a05144d89cc85b231103" ns2:_="" ns3:_="">
    <xsd:import namespace="5f784674-5bce-4588-b01d-c0ddffda7b68"/>
    <xsd:import namespace="e62931a1-5a10-4ca1-b3f3-7fbbb4bc7c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784674-5bce-4588-b01d-c0ddffda7b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daa6901-fc73-4020-ae67-9fb6ce7c1cd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2931a1-5a10-4ca1-b3f3-7fbbb4bc7ce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e663b26-3375-49f3-aea0-5f32a85ea587}" ma:internalName="TaxCatchAll" ma:showField="CatchAllData" ma:web="e62931a1-5a10-4ca1-b3f3-7fbbb4bc7ce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62931a1-5a10-4ca1-b3f3-7fbbb4bc7ce9" xsi:nil="true"/>
    <lcf76f155ced4ddcb4097134ff3c332f xmlns="5f784674-5bce-4588-b01d-c0ddffda7b6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8A2847-FB6E-43E8-9A2D-31AC2E6B3620}">
  <ds:schemaRefs>
    <ds:schemaRef ds:uri="http://schemas.microsoft.com/sharepoint/v3/contenttype/forms"/>
  </ds:schemaRefs>
</ds:datastoreItem>
</file>

<file path=customXml/itemProps2.xml><?xml version="1.0" encoding="utf-8"?>
<ds:datastoreItem xmlns:ds="http://schemas.openxmlformats.org/officeDocument/2006/customXml" ds:itemID="{AADA3123-C8FC-4EAD-87A3-5C6020821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784674-5bce-4588-b01d-c0ddffda7b68"/>
    <ds:schemaRef ds:uri="e62931a1-5a10-4ca1-b3f3-7fbbb4bc7c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D7C517-4BAA-44B1-B06A-25810B4F77D6}">
  <ds:schemaRefs>
    <ds:schemaRef ds:uri="http://schemas.openxmlformats.org/officeDocument/2006/bibliography"/>
  </ds:schemaRefs>
</ds:datastoreItem>
</file>

<file path=customXml/itemProps4.xml><?xml version="1.0" encoding="utf-8"?>
<ds:datastoreItem xmlns:ds="http://schemas.openxmlformats.org/officeDocument/2006/customXml" ds:itemID="{33E100C7-2A28-4336-9B42-6720D56C8147}">
  <ds:schemaRefs>
    <ds:schemaRef ds:uri="http://schemas.microsoft.com/office/2006/metadata/properties"/>
    <ds:schemaRef ds:uri="http://schemas.microsoft.com/office/infopath/2007/PartnerControls"/>
    <ds:schemaRef ds:uri="e62931a1-5a10-4ca1-b3f3-7fbbb4bc7ce9"/>
    <ds:schemaRef ds:uri="5f784674-5bce-4588-b01d-c0ddffda7b6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4752</Words>
  <Characters>26665</Characters>
  <Application>Microsoft Office Word</Application>
  <DocSecurity>0</DocSecurity>
  <Lines>503</Lines>
  <Paragraphs>341</Paragraphs>
  <ScaleCrop>false</ScaleCrop>
  <Company/>
  <LinksUpToDate>false</LinksUpToDate>
  <CharactersWithSpaces>31076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Judge</dc:creator>
  <cp:keywords/>
  <dc:description/>
  <cp:lastModifiedBy>Jenn Nichol</cp:lastModifiedBy>
  <cp:revision>2</cp:revision>
  <cp:lastPrinted>2026-04-09T04:12:00Z</cp:lastPrinted>
  <dcterms:created xsi:type="dcterms:W3CDTF">2026-09-15T03:48:00Z</dcterms:created>
  <dcterms:modified xsi:type="dcterms:W3CDTF">2026-09-15T03:48:00Z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0x010100D0D40A7AE73E124AB3F6B8361CDCDD65</vt:lpwstr>
  </property>
  <property fmtid="{D5CDD505-2E9C-101B-9397-08002B2CF9AE}" pid="3" name="MediaServiceImageTags">
    <vt:lpwstr/>
  </property>
  <property fmtid="{D5CDD505-2E9C-101B-9397-08002B2CF9AE}" pid="4" name="docLang">
    <vt:lpwstr>en</vt:lpwstr>
  </property>
</Properties>
</file>