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018" w:rsidRDefault="004D0018" w:rsidP="00901AE8">
      <w:pP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D0018" w:rsidRDefault="004D0018" w:rsidP="004D0018">
      <w:pPr>
        <w:spacing w:after="0"/>
        <w:ind w:left="5760" w:firstLine="720"/>
        <w:jc w:val="both"/>
        <w:rPr>
          <w:rFonts w:ascii="Arial" w:hAnsi="Arial" w:cs="Arial"/>
        </w:rPr>
      </w:pPr>
      <w:r>
        <w:rPr>
          <w:noProof/>
          <w:lang w:eastAsia="en-NZ"/>
        </w:rPr>
        <w:drawing>
          <wp:inline distT="0" distB="0" distL="0" distR="0" wp14:anchorId="6FA76F70" wp14:editId="056B0052">
            <wp:extent cx="1952625" cy="1543050"/>
            <wp:effectExtent l="0" t="0" r="9525" b="0"/>
            <wp:docPr id="1" name="Picture 1" descr="C:\Users\gberge\Desktop\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erge\Desktop\Untitled-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543050"/>
                    </a:xfrm>
                    <a:prstGeom prst="rect">
                      <a:avLst/>
                    </a:prstGeom>
                    <a:noFill/>
                    <a:ln>
                      <a:noFill/>
                    </a:ln>
                  </pic:spPr>
                </pic:pic>
              </a:graphicData>
            </a:graphic>
          </wp:inline>
        </w:drawing>
      </w:r>
    </w:p>
    <w:p w:rsidR="004D0018" w:rsidRDefault="004D0018" w:rsidP="00901AE8">
      <w:pPr>
        <w:spacing w:after="0"/>
        <w:jc w:val="both"/>
        <w:rPr>
          <w:rFonts w:ascii="Arial" w:hAnsi="Arial" w:cs="Arial"/>
        </w:rPr>
      </w:pPr>
    </w:p>
    <w:p w:rsidR="004D0018" w:rsidRDefault="004D0018" w:rsidP="00901AE8">
      <w:pPr>
        <w:spacing w:after="0"/>
        <w:jc w:val="both"/>
        <w:rPr>
          <w:rFonts w:ascii="Arial" w:hAnsi="Arial" w:cs="Arial"/>
        </w:rPr>
      </w:pPr>
    </w:p>
    <w:p w:rsidR="004D0018" w:rsidRDefault="004D0018" w:rsidP="00901AE8">
      <w:pPr>
        <w:spacing w:after="0"/>
        <w:jc w:val="both"/>
        <w:rPr>
          <w:rFonts w:ascii="Arial" w:hAnsi="Arial" w:cs="Arial"/>
        </w:rPr>
      </w:pPr>
    </w:p>
    <w:p w:rsidR="004D0018" w:rsidRDefault="004D0018" w:rsidP="00901AE8">
      <w:pPr>
        <w:spacing w:after="0"/>
        <w:jc w:val="both"/>
        <w:rPr>
          <w:rFonts w:ascii="Arial" w:hAnsi="Arial" w:cs="Arial"/>
        </w:rPr>
      </w:pPr>
    </w:p>
    <w:p w:rsidR="00901AE8" w:rsidRDefault="00901AE8" w:rsidP="00901AE8">
      <w:pPr>
        <w:spacing w:after="0"/>
        <w:jc w:val="both"/>
        <w:rPr>
          <w:rFonts w:ascii="Arial" w:hAnsi="Arial" w:cs="Arial"/>
        </w:rPr>
      </w:pPr>
      <w:r>
        <w:rPr>
          <w:rFonts w:ascii="Arial" w:hAnsi="Arial" w:cs="Arial"/>
        </w:rPr>
        <w:t>2</w:t>
      </w:r>
      <w:r w:rsidR="004D0018">
        <w:rPr>
          <w:rFonts w:ascii="Arial" w:hAnsi="Arial" w:cs="Arial"/>
        </w:rPr>
        <w:t>6</w:t>
      </w:r>
      <w:r>
        <w:rPr>
          <w:rFonts w:ascii="Arial" w:hAnsi="Arial" w:cs="Arial"/>
        </w:rPr>
        <w:t xml:space="preserve"> November 2015</w:t>
      </w:r>
    </w:p>
    <w:p w:rsidR="00901AE8" w:rsidRDefault="00901AE8" w:rsidP="00901AE8">
      <w:pPr>
        <w:spacing w:after="0"/>
        <w:jc w:val="both"/>
        <w:rPr>
          <w:rFonts w:ascii="Arial" w:hAnsi="Arial" w:cs="Arial"/>
        </w:rPr>
      </w:pPr>
    </w:p>
    <w:p w:rsidR="00901AE8" w:rsidRDefault="00901AE8" w:rsidP="00901AE8">
      <w:pPr>
        <w:spacing w:after="0"/>
        <w:jc w:val="both"/>
        <w:rPr>
          <w:rFonts w:ascii="Arial" w:hAnsi="Arial" w:cs="Arial"/>
        </w:rPr>
      </w:pPr>
    </w:p>
    <w:p w:rsidR="00901AE8" w:rsidRDefault="00901AE8" w:rsidP="00901AE8">
      <w:pPr>
        <w:spacing w:after="0"/>
        <w:jc w:val="both"/>
        <w:rPr>
          <w:rFonts w:ascii="Arial" w:hAnsi="Arial" w:cs="Arial"/>
        </w:rPr>
      </w:pPr>
      <w:r>
        <w:rPr>
          <w:rFonts w:ascii="Arial" w:hAnsi="Arial" w:cs="Arial"/>
        </w:rPr>
        <w:t>Ministry of Business Innovation &amp; Employment</w:t>
      </w:r>
    </w:p>
    <w:p w:rsidR="00901AE8" w:rsidRDefault="00901AE8" w:rsidP="00901AE8">
      <w:pPr>
        <w:spacing w:after="0"/>
        <w:jc w:val="both"/>
        <w:rPr>
          <w:rFonts w:ascii="Arial" w:hAnsi="Arial" w:cs="Arial"/>
        </w:rPr>
      </w:pPr>
      <w:r>
        <w:rPr>
          <w:rFonts w:ascii="Arial" w:hAnsi="Arial" w:cs="Arial"/>
        </w:rPr>
        <w:t>PO Box 1473, Wellington 6140</w:t>
      </w:r>
    </w:p>
    <w:p w:rsidR="00901AE8" w:rsidRDefault="00901AE8" w:rsidP="00901AE8">
      <w:pPr>
        <w:spacing w:after="0"/>
        <w:jc w:val="both"/>
        <w:rPr>
          <w:rFonts w:ascii="Arial" w:hAnsi="Arial" w:cs="Arial"/>
        </w:rPr>
      </w:pPr>
    </w:p>
    <w:p w:rsidR="00901AE8" w:rsidRDefault="0054287E" w:rsidP="00901AE8">
      <w:pPr>
        <w:jc w:val="both"/>
        <w:rPr>
          <w:rStyle w:val="Hyperlink"/>
          <w:rFonts w:ascii="Arial" w:hAnsi="Arial" w:cs="Arial"/>
        </w:rPr>
      </w:pPr>
      <w:hyperlink r:id="rId8" w:history="1">
        <w:r w:rsidR="00901AE8" w:rsidRPr="00454E06">
          <w:rPr>
            <w:rStyle w:val="Hyperlink"/>
            <w:rFonts w:ascii="Arial" w:hAnsi="Arial" w:cs="Arial"/>
          </w:rPr>
          <w:t>revisionbill@mbie.govt.nz</w:t>
        </w:r>
      </w:hyperlink>
    </w:p>
    <w:p w:rsidR="00901AE8" w:rsidRDefault="00901AE8" w:rsidP="00901AE8">
      <w:pPr>
        <w:jc w:val="both"/>
        <w:rPr>
          <w:rFonts w:ascii="Arial" w:hAnsi="Arial" w:cs="Arial"/>
        </w:rPr>
      </w:pPr>
    </w:p>
    <w:p w:rsidR="00901AE8" w:rsidRDefault="00901AE8" w:rsidP="00901AE8">
      <w:pPr>
        <w:jc w:val="both"/>
        <w:rPr>
          <w:rFonts w:ascii="Arial" w:hAnsi="Arial" w:cs="Arial"/>
          <w:b/>
          <w:sz w:val="24"/>
          <w:szCs w:val="24"/>
        </w:rPr>
      </w:pPr>
      <w:r>
        <w:rPr>
          <w:rFonts w:ascii="Arial" w:hAnsi="Arial" w:cs="Arial"/>
          <w:b/>
          <w:sz w:val="24"/>
          <w:szCs w:val="24"/>
        </w:rPr>
        <w:t>SUBMISSION OF THE INSURANCE COUNCIL OF NEW ZEALAND</w:t>
      </w:r>
    </w:p>
    <w:p w:rsidR="00901AE8" w:rsidRDefault="00901AE8" w:rsidP="00901AE8">
      <w:pPr>
        <w:jc w:val="both"/>
        <w:rPr>
          <w:rFonts w:ascii="Arial" w:hAnsi="Arial" w:cs="Arial"/>
          <w:b/>
          <w:sz w:val="24"/>
          <w:szCs w:val="24"/>
        </w:rPr>
      </w:pPr>
      <w:r>
        <w:rPr>
          <w:rFonts w:ascii="Arial" w:hAnsi="Arial" w:cs="Arial"/>
          <w:b/>
          <w:sz w:val="24"/>
          <w:szCs w:val="24"/>
        </w:rPr>
        <w:t>CONTRACT and COMMERCIAL LAW BILL</w:t>
      </w:r>
    </w:p>
    <w:p w:rsidR="00901AE8" w:rsidRDefault="00901AE8" w:rsidP="00901AE8">
      <w:pPr>
        <w:jc w:val="both"/>
        <w:rPr>
          <w:rFonts w:ascii="Arial" w:hAnsi="Arial" w:cs="Arial"/>
        </w:rPr>
      </w:pPr>
    </w:p>
    <w:p w:rsidR="00901AE8" w:rsidRDefault="00901AE8" w:rsidP="004D0018">
      <w:pPr>
        <w:pStyle w:val="ListParagraph"/>
        <w:numPr>
          <w:ilvl w:val="0"/>
          <w:numId w:val="1"/>
        </w:numPr>
        <w:ind w:hanging="720"/>
        <w:jc w:val="both"/>
        <w:rPr>
          <w:rFonts w:ascii="Arial" w:hAnsi="Arial" w:cs="Arial"/>
        </w:rPr>
      </w:pPr>
      <w:r>
        <w:rPr>
          <w:rFonts w:ascii="Arial" w:hAnsi="Arial" w:cs="Arial"/>
        </w:rPr>
        <w:t>The Insurance Council of New Zealand (ICNZ) represents the interests of New Zealand’s general insurers, that is, we do not represent Life or Health insurers.  Our members write cover that protects about $600 billion of New Zealand’s assets including house, contents, motor, commercial, marine, liability, travel and other insurance lines.</w:t>
      </w:r>
    </w:p>
    <w:p w:rsidR="00901AE8" w:rsidRPr="00D81EE3" w:rsidRDefault="00901AE8" w:rsidP="00901AE8">
      <w:pPr>
        <w:jc w:val="both"/>
        <w:rPr>
          <w:rFonts w:ascii="Arial" w:hAnsi="Arial" w:cs="Arial"/>
        </w:rPr>
      </w:pPr>
    </w:p>
    <w:p w:rsidR="00901AE8" w:rsidRDefault="00901AE8" w:rsidP="004D0018">
      <w:pPr>
        <w:pStyle w:val="ListParagraph"/>
        <w:numPr>
          <w:ilvl w:val="0"/>
          <w:numId w:val="1"/>
        </w:numPr>
        <w:ind w:hanging="720"/>
        <w:jc w:val="both"/>
        <w:rPr>
          <w:rFonts w:ascii="Arial" w:hAnsi="Arial" w:cs="Arial"/>
        </w:rPr>
      </w:pPr>
      <w:r>
        <w:rPr>
          <w:rFonts w:ascii="Arial" w:hAnsi="Arial" w:cs="Arial"/>
        </w:rPr>
        <w:t xml:space="preserve">ICNZ is pleased to provide its submission to the Contract and Commercial Law Bill and supports the intent of the bill that will aim to see a number pieces of legislation that are fairly old but very import for commerce in New Zealand made more accessible, readable and easier to understand. </w:t>
      </w:r>
    </w:p>
    <w:p w:rsidR="00901AE8" w:rsidRPr="00131304" w:rsidRDefault="00901AE8" w:rsidP="00901AE8">
      <w:pPr>
        <w:pStyle w:val="ListParagraph"/>
        <w:rPr>
          <w:rFonts w:ascii="Arial" w:hAnsi="Arial" w:cs="Arial"/>
        </w:rPr>
      </w:pPr>
    </w:p>
    <w:p w:rsidR="00901AE8" w:rsidRPr="00D81EE3" w:rsidRDefault="00901AE8" w:rsidP="00901AE8">
      <w:pPr>
        <w:pStyle w:val="ListParagraph"/>
        <w:rPr>
          <w:rFonts w:ascii="Arial" w:hAnsi="Arial" w:cs="Arial"/>
        </w:rPr>
      </w:pPr>
    </w:p>
    <w:p w:rsidR="00901AE8" w:rsidRDefault="00901AE8" w:rsidP="004D0018">
      <w:pPr>
        <w:pStyle w:val="ListParagraph"/>
        <w:numPr>
          <w:ilvl w:val="0"/>
          <w:numId w:val="1"/>
        </w:numPr>
        <w:ind w:hanging="720"/>
        <w:jc w:val="both"/>
        <w:rPr>
          <w:rFonts w:ascii="Arial" w:hAnsi="Arial" w:cs="Arial"/>
        </w:rPr>
      </w:pPr>
      <w:r>
        <w:rPr>
          <w:rFonts w:ascii="Arial" w:hAnsi="Arial" w:cs="Arial"/>
        </w:rPr>
        <w:t>The ICNZ’s submission will focus on the Carriage of Goods Act 1979 (CoGA). CoGA sets an important legislative frame work governing the liability for carriers and transport generally.</w:t>
      </w:r>
      <w:r w:rsidR="00186C14">
        <w:rPr>
          <w:rFonts w:ascii="Arial" w:hAnsi="Arial" w:cs="Arial"/>
        </w:rPr>
        <w:t xml:space="preserve"> </w:t>
      </w:r>
      <w:r>
        <w:rPr>
          <w:rFonts w:ascii="Arial" w:hAnsi="Arial" w:cs="Arial"/>
        </w:rPr>
        <w:t>Our members provide</w:t>
      </w:r>
      <w:r w:rsidR="00186C14">
        <w:rPr>
          <w:rFonts w:ascii="Arial" w:hAnsi="Arial" w:cs="Arial"/>
        </w:rPr>
        <w:t xml:space="preserve"> both</w:t>
      </w:r>
      <w:r>
        <w:rPr>
          <w:rFonts w:ascii="Arial" w:hAnsi="Arial" w:cs="Arial"/>
        </w:rPr>
        <w:t xml:space="preserve"> carriers liability insurance and marine cargo insurance. </w:t>
      </w:r>
    </w:p>
    <w:p w:rsidR="00901AE8" w:rsidRPr="007F4C59" w:rsidRDefault="00901AE8" w:rsidP="00901AE8">
      <w:pPr>
        <w:ind w:left="360"/>
        <w:jc w:val="both"/>
        <w:rPr>
          <w:rFonts w:ascii="Arial" w:hAnsi="Arial" w:cs="Arial"/>
        </w:rPr>
      </w:pPr>
    </w:p>
    <w:p w:rsidR="00901AE8" w:rsidRDefault="00901AE8" w:rsidP="004D0018">
      <w:pPr>
        <w:pStyle w:val="ListParagraph"/>
        <w:numPr>
          <w:ilvl w:val="0"/>
          <w:numId w:val="1"/>
        </w:numPr>
        <w:tabs>
          <w:tab w:val="left" w:pos="7088"/>
        </w:tabs>
        <w:ind w:hanging="720"/>
        <w:jc w:val="both"/>
        <w:rPr>
          <w:rFonts w:ascii="Arial" w:hAnsi="Arial" w:cs="Arial"/>
        </w:rPr>
      </w:pPr>
      <w:r w:rsidRPr="00157949">
        <w:rPr>
          <w:rFonts w:ascii="Arial" w:hAnsi="Arial" w:cs="Arial"/>
        </w:rPr>
        <w:t xml:space="preserve">Many of the terms contained in the CoGA are maritime terms </w:t>
      </w:r>
      <w:r w:rsidR="003D0633" w:rsidRPr="00157949">
        <w:rPr>
          <w:rFonts w:ascii="Arial" w:hAnsi="Arial" w:cs="Arial"/>
        </w:rPr>
        <w:t>that are</w:t>
      </w:r>
      <w:r w:rsidRPr="00157949">
        <w:rPr>
          <w:rFonts w:ascii="Arial" w:hAnsi="Arial" w:cs="Arial"/>
        </w:rPr>
        <w:t xml:space="preserve"> commonly used in shipping and insurance legislation that is well understood by </w:t>
      </w:r>
      <w:r w:rsidR="00186C14">
        <w:rPr>
          <w:rFonts w:ascii="Arial" w:hAnsi="Arial" w:cs="Arial"/>
        </w:rPr>
        <w:t xml:space="preserve">the </w:t>
      </w:r>
      <w:r w:rsidRPr="00157949">
        <w:rPr>
          <w:rFonts w:ascii="Arial" w:hAnsi="Arial" w:cs="Arial"/>
        </w:rPr>
        <w:t>maritime law</w:t>
      </w:r>
      <w:r w:rsidR="00186C14">
        <w:rPr>
          <w:rFonts w:ascii="Arial" w:hAnsi="Arial" w:cs="Arial"/>
        </w:rPr>
        <w:t xml:space="preserve"> fraternity and the insurance industry</w:t>
      </w:r>
      <w:r w:rsidRPr="00157949">
        <w:rPr>
          <w:rFonts w:ascii="Arial" w:hAnsi="Arial" w:cs="Arial"/>
        </w:rPr>
        <w:t xml:space="preserve">. Changing some of these terms could risk misaligning the CoGA with other related </w:t>
      </w:r>
      <w:r w:rsidR="00186C14">
        <w:rPr>
          <w:rFonts w:ascii="Arial" w:hAnsi="Arial" w:cs="Arial"/>
        </w:rPr>
        <w:t xml:space="preserve">law such as the Marine Insurance Act 1908 and </w:t>
      </w:r>
      <w:r w:rsidRPr="00157949">
        <w:rPr>
          <w:rFonts w:ascii="Arial" w:hAnsi="Arial" w:cs="Arial"/>
        </w:rPr>
        <w:t xml:space="preserve">insurance </w:t>
      </w:r>
      <w:r w:rsidR="003D0633">
        <w:rPr>
          <w:rFonts w:ascii="Arial" w:hAnsi="Arial" w:cs="Arial"/>
        </w:rPr>
        <w:t>contracts</w:t>
      </w:r>
      <w:r w:rsidRPr="00157949">
        <w:rPr>
          <w:rFonts w:ascii="Arial" w:hAnsi="Arial" w:cs="Arial"/>
        </w:rPr>
        <w:t>.</w:t>
      </w:r>
    </w:p>
    <w:p w:rsidR="00157949" w:rsidRPr="00157949" w:rsidRDefault="00157949" w:rsidP="00157949">
      <w:pPr>
        <w:pStyle w:val="ListParagraph"/>
        <w:rPr>
          <w:rFonts w:ascii="Arial" w:hAnsi="Arial" w:cs="Arial"/>
        </w:rPr>
      </w:pPr>
    </w:p>
    <w:p w:rsidR="00157949" w:rsidRDefault="00157949" w:rsidP="00157949">
      <w:pPr>
        <w:tabs>
          <w:tab w:val="left" w:pos="7088"/>
        </w:tabs>
        <w:jc w:val="both"/>
        <w:rPr>
          <w:rFonts w:ascii="Arial" w:hAnsi="Arial" w:cs="Arial"/>
          <w:b/>
          <w:u w:val="single"/>
        </w:rPr>
      </w:pPr>
      <w:r w:rsidRPr="00157949">
        <w:rPr>
          <w:rFonts w:ascii="Arial" w:hAnsi="Arial" w:cs="Arial"/>
          <w:b/>
          <w:u w:val="single"/>
        </w:rPr>
        <w:lastRenderedPageBreak/>
        <w:t>The Proposed Changes</w:t>
      </w:r>
    </w:p>
    <w:p w:rsidR="004D0018" w:rsidRPr="00157949" w:rsidRDefault="004D0018" w:rsidP="00157949">
      <w:pPr>
        <w:tabs>
          <w:tab w:val="left" w:pos="7088"/>
        </w:tabs>
        <w:jc w:val="both"/>
        <w:rPr>
          <w:rFonts w:ascii="Arial" w:hAnsi="Arial" w:cs="Arial"/>
          <w:b/>
          <w:u w:val="single"/>
        </w:rPr>
      </w:pPr>
    </w:p>
    <w:p w:rsidR="002C5BEB" w:rsidRPr="00B3110A" w:rsidRDefault="00901AE8" w:rsidP="004D0018">
      <w:pPr>
        <w:pStyle w:val="ListParagraph"/>
        <w:numPr>
          <w:ilvl w:val="0"/>
          <w:numId w:val="1"/>
        </w:numPr>
        <w:tabs>
          <w:tab w:val="left" w:pos="7088"/>
        </w:tabs>
        <w:ind w:hanging="720"/>
        <w:jc w:val="both"/>
        <w:rPr>
          <w:rFonts w:ascii="Arial" w:hAnsi="Arial" w:cs="Arial"/>
          <w:b/>
        </w:rPr>
      </w:pPr>
      <w:r w:rsidRPr="00B3110A">
        <w:rPr>
          <w:rFonts w:ascii="Arial" w:hAnsi="Arial" w:cs="Arial"/>
          <w:b/>
        </w:rPr>
        <w:t>Section 245 Meaning unit of goods.</w:t>
      </w:r>
      <w:r w:rsidR="002C5BEB" w:rsidRPr="00B3110A">
        <w:rPr>
          <w:rFonts w:ascii="Arial" w:hAnsi="Arial" w:cs="Arial"/>
          <w:b/>
          <w:bCs/>
          <w:color w:val="222222"/>
        </w:rPr>
        <w:t xml:space="preserve"> </w:t>
      </w:r>
    </w:p>
    <w:p w:rsidR="00BD0E10" w:rsidRDefault="002C5BEB" w:rsidP="004D0018">
      <w:pPr>
        <w:tabs>
          <w:tab w:val="left" w:pos="7088"/>
        </w:tabs>
        <w:ind w:left="720"/>
        <w:jc w:val="both"/>
        <w:rPr>
          <w:rStyle w:val="tgc"/>
          <w:rFonts w:ascii="Arial" w:hAnsi="Arial" w:cs="Arial"/>
          <w:b/>
          <w:bCs/>
          <w:color w:val="222222"/>
        </w:rPr>
      </w:pPr>
      <w:r w:rsidRPr="002C5BEB">
        <w:rPr>
          <w:rFonts w:ascii="Arial" w:hAnsi="Arial" w:cs="Arial"/>
        </w:rPr>
        <w:t>Th</w:t>
      </w:r>
      <w:r>
        <w:rPr>
          <w:rFonts w:ascii="Arial" w:hAnsi="Arial" w:cs="Arial"/>
        </w:rPr>
        <w:t xml:space="preserve">e proposal to delete the reference to “unit of bulk” could create a </w:t>
      </w:r>
      <w:r w:rsidR="003D0633">
        <w:rPr>
          <w:rFonts w:ascii="Arial" w:hAnsi="Arial" w:cs="Arial"/>
        </w:rPr>
        <w:t xml:space="preserve">less clear and less specific </w:t>
      </w:r>
      <w:r>
        <w:rPr>
          <w:rFonts w:ascii="Arial" w:hAnsi="Arial" w:cs="Arial"/>
        </w:rPr>
        <w:t>definition risk</w:t>
      </w:r>
      <w:r w:rsidR="003D0633">
        <w:rPr>
          <w:rFonts w:ascii="Arial" w:hAnsi="Arial" w:cs="Arial"/>
        </w:rPr>
        <w:t>.</w:t>
      </w:r>
      <w:r>
        <w:rPr>
          <w:rFonts w:ascii="Arial" w:hAnsi="Arial" w:cs="Arial"/>
        </w:rPr>
        <w:t xml:space="preserve"> </w:t>
      </w:r>
      <w:r w:rsidR="003D0633">
        <w:rPr>
          <w:rFonts w:ascii="Arial" w:hAnsi="Arial" w:cs="Arial"/>
        </w:rPr>
        <w:t>B</w:t>
      </w:r>
      <w:r>
        <w:rPr>
          <w:rFonts w:ascii="Arial" w:hAnsi="Arial" w:cs="Arial"/>
        </w:rPr>
        <w:t xml:space="preserve">ulk or bulk cargo is </w:t>
      </w:r>
      <w:r w:rsidR="00157949">
        <w:rPr>
          <w:rFonts w:ascii="Arial" w:hAnsi="Arial" w:cs="Arial"/>
        </w:rPr>
        <w:t>the maritime definition</w:t>
      </w:r>
      <w:r>
        <w:rPr>
          <w:rFonts w:ascii="Arial" w:hAnsi="Arial" w:cs="Arial"/>
        </w:rPr>
        <w:t xml:space="preserve"> </w:t>
      </w:r>
      <w:r w:rsidR="00157949">
        <w:rPr>
          <w:rFonts w:ascii="Arial" w:hAnsi="Arial" w:cs="Arial"/>
        </w:rPr>
        <w:t xml:space="preserve">of commodity cargo that is transported unpackaged </w:t>
      </w:r>
      <w:r w:rsidR="00AE04AC">
        <w:rPr>
          <w:rFonts w:ascii="Arial" w:hAnsi="Arial" w:cs="Arial"/>
        </w:rPr>
        <w:t xml:space="preserve">in </w:t>
      </w:r>
      <w:bookmarkStart w:id="0" w:name="_GoBack"/>
      <w:bookmarkEnd w:id="0"/>
      <w:r w:rsidR="00157949">
        <w:rPr>
          <w:rFonts w:ascii="Arial" w:hAnsi="Arial" w:cs="Arial"/>
        </w:rPr>
        <w:t xml:space="preserve">large quantities. It could be liquid like petroleum or </w:t>
      </w:r>
      <w:r w:rsidR="003D0633">
        <w:rPr>
          <w:rFonts w:ascii="Arial" w:hAnsi="Arial" w:cs="Arial"/>
        </w:rPr>
        <w:t xml:space="preserve">a </w:t>
      </w:r>
      <w:r w:rsidR="00157949">
        <w:rPr>
          <w:rFonts w:ascii="Arial" w:hAnsi="Arial" w:cs="Arial"/>
        </w:rPr>
        <w:t>dry solid like coal or gravel. Bulk could be determined to be different from weight. Bulk is</w:t>
      </w:r>
      <w:r w:rsidR="003D0633">
        <w:rPr>
          <w:rFonts w:ascii="Arial" w:hAnsi="Arial" w:cs="Arial"/>
        </w:rPr>
        <w:t xml:space="preserve"> more related to volume of a commodity in a ship or on a truck</w:t>
      </w:r>
      <w:r w:rsidR="00157949">
        <w:rPr>
          <w:rFonts w:ascii="Arial" w:hAnsi="Arial" w:cs="Arial"/>
        </w:rPr>
        <w:t xml:space="preserve">. ICNZ </w:t>
      </w:r>
      <w:r w:rsidR="00BB0F2E" w:rsidRPr="003154FD">
        <w:rPr>
          <w:rFonts w:ascii="Arial" w:hAnsi="Arial" w:cs="Arial"/>
        </w:rPr>
        <w:t xml:space="preserve">strongly </w:t>
      </w:r>
      <w:r w:rsidR="00BB0F2E">
        <w:rPr>
          <w:rFonts w:ascii="Arial" w:hAnsi="Arial" w:cs="Arial"/>
        </w:rPr>
        <w:t>recommends</w:t>
      </w:r>
      <w:r w:rsidR="003D0633">
        <w:rPr>
          <w:rFonts w:ascii="Arial" w:hAnsi="Arial" w:cs="Arial"/>
        </w:rPr>
        <w:t xml:space="preserve"> </w:t>
      </w:r>
      <w:r w:rsidR="00157949">
        <w:rPr>
          <w:rFonts w:ascii="Arial" w:hAnsi="Arial" w:cs="Arial"/>
        </w:rPr>
        <w:t xml:space="preserve">that the current definition for “meaning of unit of goods” should be left unchanged.  </w:t>
      </w:r>
    </w:p>
    <w:p w:rsidR="00BD0E10" w:rsidRPr="002C5BEB" w:rsidRDefault="00BD0E10" w:rsidP="002C5BEB">
      <w:pPr>
        <w:pStyle w:val="ListParagraph"/>
        <w:rPr>
          <w:rStyle w:val="tgc"/>
          <w:rFonts w:ascii="Arial" w:hAnsi="Arial" w:cs="Arial"/>
          <w:b/>
          <w:bCs/>
          <w:color w:val="222222"/>
        </w:rPr>
      </w:pPr>
    </w:p>
    <w:p w:rsidR="00BD0E10" w:rsidRDefault="00C25224" w:rsidP="004D0018">
      <w:pPr>
        <w:pStyle w:val="ListParagraph"/>
        <w:numPr>
          <w:ilvl w:val="0"/>
          <w:numId w:val="1"/>
        </w:numPr>
        <w:tabs>
          <w:tab w:val="left" w:pos="7088"/>
        </w:tabs>
        <w:ind w:hanging="720"/>
        <w:jc w:val="both"/>
        <w:rPr>
          <w:rStyle w:val="tgc"/>
          <w:rFonts w:ascii="Arial" w:hAnsi="Arial" w:cs="Arial"/>
          <w:b/>
        </w:rPr>
      </w:pPr>
      <w:r w:rsidRPr="00C25224">
        <w:rPr>
          <w:rStyle w:val="tgc"/>
          <w:rFonts w:ascii="Arial" w:hAnsi="Arial" w:cs="Arial"/>
          <w:b/>
        </w:rPr>
        <w:t>Section 247 Particular kind of contract is a m</w:t>
      </w:r>
      <w:r>
        <w:rPr>
          <w:rStyle w:val="tgc"/>
          <w:rFonts w:ascii="Arial" w:hAnsi="Arial" w:cs="Arial"/>
          <w:b/>
        </w:rPr>
        <w:t>a</w:t>
      </w:r>
      <w:r w:rsidRPr="00C25224">
        <w:rPr>
          <w:rStyle w:val="tgc"/>
          <w:rFonts w:ascii="Arial" w:hAnsi="Arial" w:cs="Arial"/>
          <w:b/>
        </w:rPr>
        <w:t>tter for agreement subject to meeting requirements for that kind</w:t>
      </w:r>
      <w:r>
        <w:rPr>
          <w:rStyle w:val="tgc"/>
          <w:rFonts w:ascii="Arial" w:hAnsi="Arial" w:cs="Arial"/>
          <w:b/>
        </w:rPr>
        <w:t>.</w:t>
      </w:r>
    </w:p>
    <w:p w:rsidR="00BD0E10" w:rsidRDefault="00BD0E10" w:rsidP="00BD0E10">
      <w:pPr>
        <w:tabs>
          <w:tab w:val="left" w:pos="7088"/>
        </w:tabs>
        <w:ind w:left="720"/>
        <w:jc w:val="both"/>
        <w:rPr>
          <w:rStyle w:val="tgc"/>
          <w:rFonts w:ascii="Arial" w:hAnsi="Arial" w:cs="Arial"/>
        </w:rPr>
      </w:pPr>
      <w:r w:rsidRPr="00BD0E10">
        <w:rPr>
          <w:rStyle w:val="tgc"/>
          <w:rFonts w:ascii="Arial" w:hAnsi="Arial" w:cs="Arial"/>
        </w:rPr>
        <w:t xml:space="preserve">The exposure draft asks for feedback on the intention of the parties contracting out of  </w:t>
      </w:r>
      <w:r w:rsidR="003D0633">
        <w:rPr>
          <w:rStyle w:val="tgc"/>
          <w:rFonts w:ascii="Arial" w:hAnsi="Arial" w:cs="Arial"/>
        </w:rPr>
        <w:t>“</w:t>
      </w:r>
      <w:r w:rsidRPr="00BD0E10">
        <w:rPr>
          <w:rStyle w:val="tgc"/>
          <w:rFonts w:ascii="Arial" w:hAnsi="Arial" w:cs="Arial"/>
        </w:rPr>
        <w:t>Limited Carriers Risk</w:t>
      </w:r>
      <w:r w:rsidR="003D0633">
        <w:rPr>
          <w:rStyle w:val="tgc"/>
          <w:rFonts w:ascii="Arial" w:hAnsi="Arial" w:cs="Arial"/>
        </w:rPr>
        <w:t>”</w:t>
      </w:r>
      <w:r w:rsidRPr="00BD0E10">
        <w:rPr>
          <w:rStyle w:val="tgc"/>
          <w:rFonts w:ascii="Arial" w:hAnsi="Arial" w:cs="Arial"/>
        </w:rPr>
        <w:t xml:space="preserve"> being dependant o</w:t>
      </w:r>
      <w:r w:rsidR="00D535B9">
        <w:rPr>
          <w:rStyle w:val="tgc"/>
          <w:rFonts w:ascii="Arial" w:hAnsi="Arial" w:cs="Arial"/>
        </w:rPr>
        <w:t>n</w:t>
      </w:r>
      <w:r w:rsidRPr="00BD0E10">
        <w:rPr>
          <w:rStyle w:val="tgc"/>
          <w:rFonts w:ascii="Arial" w:hAnsi="Arial" w:cs="Arial"/>
        </w:rPr>
        <w:t xml:space="preserve"> the correct contract label being used on the packaging. If a label is used, but conflicts with the terms of the actual agreement then it is our recommendation that the use of the correct label is not absolutely necessary and the </w:t>
      </w:r>
      <w:r w:rsidR="003D0633">
        <w:rPr>
          <w:rStyle w:val="tgc"/>
          <w:rFonts w:ascii="Arial" w:hAnsi="Arial" w:cs="Arial"/>
        </w:rPr>
        <w:t xml:space="preserve">original </w:t>
      </w:r>
      <w:r w:rsidRPr="00BD0E10">
        <w:rPr>
          <w:rStyle w:val="tgc"/>
          <w:rFonts w:ascii="Arial" w:hAnsi="Arial" w:cs="Arial"/>
        </w:rPr>
        <w:t xml:space="preserve">intention of the  parties to contract out of the </w:t>
      </w:r>
      <w:r w:rsidR="003D0633">
        <w:rPr>
          <w:rStyle w:val="tgc"/>
          <w:rFonts w:ascii="Arial" w:hAnsi="Arial" w:cs="Arial"/>
        </w:rPr>
        <w:t>“</w:t>
      </w:r>
      <w:r w:rsidRPr="00BD0E10">
        <w:rPr>
          <w:rStyle w:val="tgc"/>
          <w:rFonts w:ascii="Arial" w:hAnsi="Arial" w:cs="Arial"/>
        </w:rPr>
        <w:t>Limited Carriers Risk</w:t>
      </w:r>
      <w:r w:rsidR="003D0633">
        <w:rPr>
          <w:rStyle w:val="tgc"/>
          <w:rFonts w:ascii="Arial" w:hAnsi="Arial" w:cs="Arial"/>
        </w:rPr>
        <w:t>”</w:t>
      </w:r>
      <w:r w:rsidRPr="00BD0E10">
        <w:rPr>
          <w:rStyle w:val="tgc"/>
          <w:rFonts w:ascii="Arial" w:hAnsi="Arial" w:cs="Arial"/>
        </w:rPr>
        <w:t xml:space="preserve"> would take precedent.</w:t>
      </w:r>
    </w:p>
    <w:p w:rsidR="004D0018" w:rsidRPr="00BD0E10" w:rsidRDefault="004D0018" w:rsidP="00BD0E10">
      <w:pPr>
        <w:tabs>
          <w:tab w:val="left" w:pos="7088"/>
        </w:tabs>
        <w:ind w:left="720"/>
        <w:jc w:val="both"/>
        <w:rPr>
          <w:rStyle w:val="tgc"/>
          <w:rFonts w:ascii="Arial" w:hAnsi="Arial" w:cs="Arial"/>
          <w:b/>
        </w:rPr>
      </w:pPr>
    </w:p>
    <w:p w:rsidR="00BD0E10" w:rsidRDefault="00BD0E10" w:rsidP="004D0018">
      <w:pPr>
        <w:pStyle w:val="ListParagraph"/>
        <w:numPr>
          <w:ilvl w:val="0"/>
          <w:numId w:val="1"/>
        </w:numPr>
        <w:tabs>
          <w:tab w:val="left" w:pos="7088"/>
        </w:tabs>
        <w:ind w:hanging="720"/>
        <w:jc w:val="both"/>
        <w:rPr>
          <w:rStyle w:val="tgc"/>
          <w:rFonts w:ascii="Arial" w:hAnsi="Arial" w:cs="Arial"/>
          <w:b/>
        </w:rPr>
      </w:pPr>
      <w:r w:rsidRPr="00B3110A">
        <w:rPr>
          <w:rStyle w:val="tgc"/>
          <w:rFonts w:ascii="Arial" w:hAnsi="Arial" w:cs="Arial"/>
          <w:b/>
        </w:rPr>
        <w:t>Section 262 Carrier not liable in certain circumstances “inherent vice” or “inherent defect”</w:t>
      </w:r>
    </w:p>
    <w:p w:rsidR="008B549E" w:rsidRPr="009638F3" w:rsidRDefault="008B549E" w:rsidP="009638F3">
      <w:pPr>
        <w:ind w:left="720" w:firstLine="12"/>
        <w:rPr>
          <w:rFonts w:ascii="Arial" w:hAnsi="Arial"/>
        </w:rPr>
      </w:pPr>
      <w:r w:rsidRPr="009638F3">
        <w:rPr>
          <w:rFonts w:ascii="Arial" w:hAnsi="Arial"/>
        </w:rPr>
        <w:t xml:space="preserve">We strongly disagree that “inherent vice” should be replaced with “inherent defect in, or the nature of, the goods” in the Bill. </w:t>
      </w:r>
    </w:p>
    <w:p w:rsidR="008B549E" w:rsidRPr="009638F3" w:rsidRDefault="008B549E" w:rsidP="009638F3">
      <w:pPr>
        <w:ind w:left="720"/>
        <w:rPr>
          <w:rFonts w:ascii="Arial" w:hAnsi="Arial"/>
        </w:rPr>
      </w:pPr>
      <w:r w:rsidRPr="009638F3">
        <w:rPr>
          <w:rFonts w:ascii="Arial" w:hAnsi="Arial"/>
        </w:rPr>
        <w:t xml:space="preserve">“Inherent vice” is part of insurers’ and carriers’ vernacular globally. Courts have clarified and refined its meaning over a long period of time. It appears in numerous other domestic and international sources of law. It is standard to contracts of insurance and contracts for carriage of goods. It appears in the Marine Insurance Act 1908 in New Zealand, and the Institute Cargo Clauses, which are the foundation of most marine insurance cargo policies globally. Replacing “inherent vice” with “inherent defect” in the Carriage of Goods Act would therefore leave the Act at odds with law and practice domestically and globally. </w:t>
      </w:r>
    </w:p>
    <w:p w:rsidR="008B549E" w:rsidRPr="009638F3" w:rsidRDefault="008B549E" w:rsidP="009638F3">
      <w:pPr>
        <w:ind w:left="720"/>
        <w:rPr>
          <w:rFonts w:ascii="Arial" w:hAnsi="Arial"/>
        </w:rPr>
      </w:pPr>
      <w:r w:rsidRPr="009638F3">
        <w:rPr>
          <w:rFonts w:ascii="Arial" w:hAnsi="Arial"/>
        </w:rPr>
        <w:t xml:space="preserve">In our view the replacement phrase is narrower than “inherent vice”. It is a fundamental change in the law and therefore outside the scope of what the Bill may do. We believe the replacement phrase is narrower because of the limitation to inherent defects in (or nature of) the goods, and the use of the word “defect”. </w:t>
      </w:r>
    </w:p>
    <w:p w:rsidR="008B549E" w:rsidRPr="009638F3" w:rsidRDefault="008B549E" w:rsidP="009638F3">
      <w:pPr>
        <w:ind w:left="720"/>
        <w:rPr>
          <w:rFonts w:ascii="Arial" w:hAnsi="Arial"/>
        </w:rPr>
      </w:pPr>
      <w:r w:rsidRPr="009638F3">
        <w:rPr>
          <w:rFonts w:ascii="Arial" w:hAnsi="Arial"/>
        </w:rPr>
        <w:t>In decided cases, “inherent vice” has been interpreted to include vices external to the goods carried. Examples include loss caused by inadequate packing, loading, cracking, mildew and spontaneous combustion.</w:t>
      </w:r>
      <w:r w:rsidRPr="009638F3">
        <w:rPr>
          <w:rStyle w:val="FootnoteReference"/>
          <w:rFonts w:ascii="Arial" w:hAnsi="Arial"/>
        </w:rPr>
        <w:footnoteReference w:id="1"/>
      </w:r>
      <w:r w:rsidRPr="009638F3">
        <w:rPr>
          <w:rFonts w:ascii="Arial" w:hAnsi="Arial"/>
        </w:rPr>
        <w:t xml:space="preserve"> Inherent vice can also include losses like ordinary leakage and breakage due to the natural behaviour of the goods during the ordinary course of transit, where there is no “defect” in the goods. </w:t>
      </w:r>
      <w:r w:rsidRPr="009638F3">
        <w:rPr>
          <w:rFonts w:ascii="Arial" w:hAnsi="Arial"/>
        </w:rPr>
        <w:lastRenderedPageBreak/>
        <w:t>“Inherent defect” is a narrower phrase and focuses on imperfections or inadequacies in the goods, thereby excluding external vices and other losses that occur where some pre-existing defect in the goods is not identifiable.</w:t>
      </w:r>
    </w:p>
    <w:p w:rsidR="008B549E" w:rsidRPr="009638F3" w:rsidRDefault="008B549E" w:rsidP="009638F3">
      <w:pPr>
        <w:ind w:firstLine="720"/>
        <w:rPr>
          <w:rFonts w:ascii="Arial" w:hAnsi="Arial"/>
        </w:rPr>
      </w:pPr>
      <w:r w:rsidRPr="009638F3">
        <w:rPr>
          <w:rFonts w:ascii="Arial" w:hAnsi="Arial"/>
        </w:rPr>
        <w:t xml:space="preserve">With the proposed amendment, </w:t>
      </w:r>
      <w:r w:rsidRPr="00E543FD">
        <w:rPr>
          <w:rFonts w:ascii="Arial" w:hAnsi="Arial"/>
        </w:rPr>
        <w:t xml:space="preserve">carriers </w:t>
      </w:r>
      <w:r w:rsidRPr="009638F3">
        <w:rPr>
          <w:rFonts w:ascii="Arial" w:hAnsi="Arial"/>
        </w:rPr>
        <w:t>may become liable for these risks.</w:t>
      </w:r>
    </w:p>
    <w:p w:rsidR="008B549E" w:rsidRDefault="008B549E" w:rsidP="004D0018">
      <w:pPr>
        <w:ind w:left="720"/>
        <w:rPr>
          <w:rStyle w:val="tgc"/>
          <w:rFonts w:ascii="Arial" w:hAnsi="Arial" w:cs="Arial"/>
          <w:b/>
        </w:rPr>
      </w:pPr>
      <w:r w:rsidRPr="009638F3">
        <w:rPr>
          <w:rFonts w:ascii="Arial" w:hAnsi="Arial"/>
        </w:rPr>
        <w:t>Overall, we support certainty and stability in the law. Given the universality of the phrase “inherent vice” and the significant potential for unintended consequences through differences in interpretation outlined above, we strongly disagree with the proposed change.</w:t>
      </w:r>
    </w:p>
    <w:p w:rsidR="008B549E" w:rsidRPr="008B549E" w:rsidRDefault="008B549E" w:rsidP="008B549E">
      <w:pPr>
        <w:tabs>
          <w:tab w:val="left" w:pos="7088"/>
        </w:tabs>
        <w:jc w:val="both"/>
        <w:rPr>
          <w:rStyle w:val="tgc"/>
          <w:rFonts w:ascii="Arial" w:hAnsi="Arial" w:cs="Arial"/>
          <w:b/>
        </w:rPr>
      </w:pPr>
    </w:p>
    <w:p w:rsidR="00B3110A" w:rsidRDefault="00B3110A" w:rsidP="004D0018">
      <w:pPr>
        <w:pStyle w:val="ListParagraph"/>
        <w:numPr>
          <w:ilvl w:val="0"/>
          <w:numId w:val="1"/>
        </w:numPr>
        <w:spacing w:after="0" w:line="240" w:lineRule="auto"/>
        <w:ind w:hanging="720"/>
        <w:rPr>
          <w:rFonts w:ascii="Arial" w:hAnsi="Arial"/>
        </w:rPr>
      </w:pPr>
      <w:r>
        <w:rPr>
          <w:rFonts w:ascii="Arial" w:hAnsi="Arial"/>
        </w:rPr>
        <w:t>We do trust that you will find our submission useful when reviewing the CoGA in terms of its readability and being a bit more modern in its structure and format.</w:t>
      </w:r>
    </w:p>
    <w:p w:rsidR="00B3110A" w:rsidRDefault="00B3110A" w:rsidP="00B3110A">
      <w:pPr>
        <w:spacing w:after="0" w:line="240" w:lineRule="auto"/>
        <w:rPr>
          <w:rFonts w:ascii="Arial" w:hAnsi="Arial"/>
        </w:rPr>
      </w:pPr>
    </w:p>
    <w:p w:rsidR="00BB0F2E" w:rsidRDefault="00BB0F2E" w:rsidP="00B3110A">
      <w:pPr>
        <w:spacing w:after="0" w:line="240" w:lineRule="auto"/>
        <w:rPr>
          <w:rFonts w:ascii="Arial" w:hAnsi="Arial"/>
        </w:rPr>
      </w:pPr>
    </w:p>
    <w:p w:rsidR="00B3110A" w:rsidRDefault="00B3110A" w:rsidP="004D0018">
      <w:pPr>
        <w:pStyle w:val="ListParagraph"/>
        <w:numPr>
          <w:ilvl w:val="0"/>
          <w:numId w:val="1"/>
        </w:numPr>
        <w:spacing w:after="0" w:line="240" w:lineRule="auto"/>
        <w:ind w:hanging="720"/>
        <w:rPr>
          <w:rFonts w:ascii="Arial" w:hAnsi="Arial"/>
        </w:rPr>
      </w:pPr>
      <w:r w:rsidRPr="00900CBC">
        <w:rPr>
          <w:rFonts w:ascii="Arial" w:hAnsi="Arial"/>
        </w:rPr>
        <w:t xml:space="preserve">ICNZ does not intend to comment on the other </w:t>
      </w:r>
      <w:r w:rsidR="00900CBC" w:rsidRPr="00900CBC">
        <w:rPr>
          <w:rFonts w:ascii="Arial" w:hAnsi="Arial"/>
        </w:rPr>
        <w:t>10 statutes that are subject to this review as we have not identifying them as having any negative effect on Insurance.</w:t>
      </w:r>
    </w:p>
    <w:p w:rsidR="00900CBC" w:rsidRDefault="00900CBC" w:rsidP="00900CBC">
      <w:pPr>
        <w:pStyle w:val="ListParagraph"/>
        <w:rPr>
          <w:rFonts w:ascii="Arial" w:hAnsi="Arial"/>
        </w:rPr>
      </w:pPr>
    </w:p>
    <w:p w:rsidR="00BB0F2E" w:rsidRPr="00900CBC" w:rsidRDefault="00BB0F2E" w:rsidP="00900CBC">
      <w:pPr>
        <w:pStyle w:val="ListParagraph"/>
        <w:rPr>
          <w:rFonts w:ascii="Arial" w:hAnsi="Arial"/>
        </w:rPr>
      </w:pPr>
    </w:p>
    <w:p w:rsidR="00900CBC" w:rsidRDefault="00900CBC" w:rsidP="004D0018">
      <w:pPr>
        <w:pStyle w:val="ListParagraph"/>
        <w:numPr>
          <w:ilvl w:val="0"/>
          <w:numId w:val="1"/>
        </w:numPr>
        <w:spacing w:after="0" w:line="240" w:lineRule="auto"/>
        <w:ind w:hanging="720"/>
        <w:rPr>
          <w:rFonts w:ascii="Arial" w:hAnsi="Arial"/>
        </w:rPr>
      </w:pPr>
      <w:r>
        <w:rPr>
          <w:rFonts w:ascii="Arial" w:hAnsi="Arial"/>
        </w:rPr>
        <w:t xml:space="preserve">If you encounter any questions then please do not hesitate to contact John Lucas on 04 495 8006 </w:t>
      </w:r>
      <w:hyperlink r:id="rId9" w:history="1">
        <w:r w:rsidRPr="00DF7E02">
          <w:rPr>
            <w:rStyle w:val="Hyperlink"/>
            <w:rFonts w:ascii="Arial" w:hAnsi="Arial"/>
          </w:rPr>
          <w:t>john@icnz.org.nz</w:t>
        </w:r>
      </w:hyperlink>
      <w:r>
        <w:rPr>
          <w:rFonts w:ascii="Arial" w:hAnsi="Arial"/>
        </w:rPr>
        <w:t>.</w:t>
      </w:r>
    </w:p>
    <w:p w:rsidR="004D0018" w:rsidRDefault="004D0018" w:rsidP="004D0018">
      <w:pPr>
        <w:spacing w:after="0" w:line="240" w:lineRule="auto"/>
        <w:rPr>
          <w:rFonts w:ascii="Arial" w:hAnsi="Arial"/>
        </w:rPr>
      </w:pPr>
    </w:p>
    <w:p w:rsidR="004D0018" w:rsidRDefault="004D0018" w:rsidP="004D0018">
      <w:pPr>
        <w:spacing w:after="0" w:line="240" w:lineRule="auto"/>
        <w:rPr>
          <w:rFonts w:ascii="Arial" w:hAnsi="Arial"/>
        </w:rPr>
      </w:pPr>
    </w:p>
    <w:p w:rsidR="004D0018" w:rsidRDefault="004D0018" w:rsidP="004D0018">
      <w:pPr>
        <w:spacing w:after="0" w:line="240" w:lineRule="auto"/>
        <w:rPr>
          <w:rFonts w:ascii="Arial" w:hAnsi="Arial"/>
        </w:rPr>
      </w:pPr>
    </w:p>
    <w:p w:rsidR="004D0018" w:rsidRPr="004D0018" w:rsidRDefault="004D0018" w:rsidP="004D0018">
      <w:pPr>
        <w:spacing w:after="0" w:line="240" w:lineRule="auto"/>
        <w:rPr>
          <w:rFonts w:ascii="Arial" w:hAnsi="Arial"/>
        </w:rPr>
      </w:pPr>
    </w:p>
    <w:p w:rsidR="00900CBC" w:rsidRDefault="00900CBC" w:rsidP="00900CBC">
      <w:pPr>
        <w:spacing w:after="0" w:line="240" w:lineRule="auto"/>
        <w:rPr>
          <w:rFonts w:ascii="Arial" w:hAnsi="Arial"/>
        </w:rPr>
      </w:pPr>
    </w:p>
    <w:p w:rsidR="00186C14" w:rsidRPr="00186C14" w:rsidRDefault="00900CBC" w:rsidP="00186C14">
      <w:pPr>
        <w:spacing w:after="0" w:line="276" w:lineRule="auto"/>
        <w:rPr>
          <w:rFonts w:ascii="Arial" w:hAnsi="Arial"/>
        </w:rPr>
      </w:pPr>
      <w:r w:rsidRPr="00186C14">
        <w:rPr>
          <w:rFonts w:ascii="Arial" w:hAnsi="Arial"/>
        </w:rPr>
        <w:t>Yours</w:t>
      </w:r>
      <w:r w:rsidR="00186C14" w:rsidRPr="00186C14">
        <w:rPr>
          <w:rFonts w:ascii="Arial" w:hAnsi="Arial"/>
        </w:rPr>
        <w:t xml:space="preserve"> sincerely</w:t>
      </w:r>
    </w:p>
    <w:p w:rsidR="00186C14" w:rsidRDefault="00186C14" w:rsidP="00186C14">
      <w:pPr>
        <w:spacing w:after="0" w:line="276" w:lineRule="auto"/>
        <w:rPr>
          <w:rFonts w:ascii="Arial" w:hAnsi="Arial"/>
        </w:rPr>
      </w:pPr>
    </w:p>
    <w:p w:rsidR="00186C14" w:rsidRDefault="00186C14" w:rsidP="00186C14">
      <w:pPr>
        <w:spacing w:after="0" w:line="276" w:lineRule="auto"/>
        <w:rPr>
          <w:rFonts w:ascii="Arial" w:hAnsi="Arial"/>
        </w:rPr>
      </w:pPr>
      <w:r w:rsidRPr="00186C14">
        <w:rPr>
          <w:rFonts w:ascii="Arial" w:hAnsi="Arial"/>
        </w:rPr>
        <w:tab/>
      </w:r>
    </w:p>
    <w:p w:rsidR="004D0018" w:rsidRDefault="004D0018" w:rsidP="00186C14">
      <w:pPr>
        <w:spacing w:after="0" w:line="276" w:lineRule="auto"/>
        <w:rPr>
          <w:rFonts w:ascii="Arial" w:hAnsi="Arial"/>
        </w:rPr>
      </w:pPr>
    </w:p>
    <w:p w:rsidR="004D0018" w:rsidRDefault="004D0018" w:rsidP="00186C14">
      <w:pPr>
        <w:spacing w:after="0" w:line="276" w:lineRule="auto"/>
        <w:rPr>
          <w:rFonts w:ascii="Arial" w:hAnsi="Arial"/>
        </w:rPr>
      </w:pPr>
    </w:p>
    <w:p w:rsidR="004D0018" w:rsidRDefault="004D0018" w:rsidP="00186C14">
      <w:pPr>
        <w:spacing w:after="0" w:line="276" w:lineRule="auto"/>
        <w:rPr>
          <w:rFonts w:ascii="Arial" w:hAnsi="Arial"/>
        </w:rPr>
      </w:pPr>
    </w:p>
    <w:p w:rsidR="004D0018" w:rsidRPr="00186C14" w:rsidRDefault="004D0018" w:rsidP="00186C14">
      <w:pPr>
        <w:spacing w:after="0" w:line="276" w:lineRule="auto"/>
        <w:rPr>
          <w:rFonts w:ascii="Arial" w:hAnsi="Arial"/>
        </w:rPr>
      </w:pPr>
    </w:p>
    <w:p w:rsidR="00186C14" w:rsidRPr="00186C14" w:rsidRDefault="003D0633" w:rsidP="00186C14">
      <w:pPr>
        <w:spacing w:after="0" w:line="276" w:lineRule="auto"/>
        <w:rPr>
          <w:rFonts w:ascii="Arial" w:hAnsi="Arial"/>
        </w:rPr>
      </w:pPr>
      <w:r>
        <w:rPr>
          <w:rFonts w:ascii="Arial" w:hAnsi="Arial"/>
        </w:rPr>
        <w:t>T</w:t>
      </w:r>
      <w:r w:rsidR="00186C14" w:rsidRPr="00186C14">
        <w:rPr>
          <w:rFonts w:ascii="Arial" w:hAnsi="Arial"/>
        </w:rPr>
        <w:t>im Grafton</w:t>
      </w:r>
      <w:r w:rsidR="00186C14" w:rsidRPr="00186C14">
        <w:rPr>
          <w:rFonts w:ascii="Arial" w:hAnsi="Arial"/>
        </w:rPr>
        <w:tab/>
      </w:r>
      <w:r w:rsidR="00186C14" w:rsidRPr="00186C14">
        <w:rPr>
          <w:rFonts w:ascii="Arial" w:hAnsi="Arial"/>
        </w:rPr>
        <w:tab/>
      </w:r>
      <w:r w:rsidR="00186C14" w:rsidRPr="00186C14">
        <w:rPr>
          <w:rFonts w:ascii="Arial" w:hAnsi="Arial"/>
        </w:rPr>
        <w:tab/>
      </w:r>
      <w:r w:rsidR="00186C14" w:rsidRPr="00186C14">
        <w:rPr>
          <w:rFonts w:ascii="Arial" w:hAnsi="Arial"/>
        </w:rPr>
        <w:tab/>
      </w:r>
      <w:r w:rsidR="00186C14" w:rsidRPr="00186C14">
        <w:rPr>
          <w:rFonts w:ascii="Arial" w:hAnsi="Arial"/>
        </w:rPr>
        <w:tab/>
      </w:r>
      <w:r w:rsidR="00186C14" w:rsidRPr="00186C14">
        <w:rPr>
          <w:rFonts w:ascii="Arial" w:hAnsi="Arial"/>
        </w:rPr>
        <w:tab/>
      </w:r>
      <w:r w:rsidR="00186C14">
        <w:rPr>
          <w:rFonts w:ascii="Arial" w:hAnsi="Arial"/>
        </w:rPr>
        <w:tab/>
      </w:r>
      <w:r w:rsidR="00186C14" w:rsidRPr="00186C14">
        <w:rPr>
          <w:rFonts w:ascii="Arial" w:hAnsi="Arial"/>
        </w:rPr>
        <w:t>John Lucas</w:t>
      </w:r>
    </w:p>
    <w:p w:rsidR="00186C14" w:rsidRPr="00186C14" w:rsidRDefault="00186C14" w:rsidP="00186C14">
      <w:pPr>
        <w:spacing w:after="0" w:line="276" w:lineRule="auto"/>
        <w:rPr>
          <w:rFonts w:ascii="Arial" w:hAnsi="Arial"/>
          <w:szCs w:val="24"/>
        </w:rPr>
      </w:pPr>
      <w:r w:rsidRPr="00186C14">
        <w:rPr>
          <w:rFonts w:ascii="Arial" w:hAnsi="Arial"/>
        </w:rPr>
        <w:t>Chief Executive</w:t>
      </w:r>
      <w:r w:rsidRPr="00186C14">
        <w:rPr>
          <w:rFonts w:ascii="Arial" w:hAnsi="Arial"/>
        </w:rPr>
        <w:tab/>
      </w:r>
      <w:r w:rsidRPr="00186C14">
        <w:rPr>
          <w:rFonts w:ascii="Arial" w:hAnsi="Arial"/>
        </w:rPr>
        <w:tab/>
      </w:r>
      <w:r w:rsidRPr="00186C14">
        <w:rPr>
          <w:rFonts w:ascii="Arial" w:hAnsi="Arial"/>
        </w:rPr>
        <w:tab/>
      </w:r>
      <w:r w:rsidRPr="00186C14">
        <w:rPr>
          <w:rFonts w:ascii="Arial" w:hAnsi="Arial"/>
        </w:rPr>
        <w:tab/>
      </w:r>
      <w:r w:rsidRPr="00186C14">
        <w:rPr>
          <w:rFonts w:ascii="Arial" w:hAnsi="Arial"/>
        </w:rPr>
        <w:tab/>
      </w:r>
      <w:r w:rsidRPr="00186C14">
        <w:rPr>
          <w:rFonts w:ascii="Arial" w:hAnsi="Arial"/>
        </w:rPr>
        <w:tab/>
        <w:t>Insurance Manager</w:t>
      </w:r>
    </w:p>
    <w:p w:rsidR="00900CBC" w:rsidRPr="00186C14" w:rsidRDefault="00900CBC" w:rsidP="00900CBC">
      <w:pPr>
        <w:spacing w:after="0" w:line="240" w:lineRule="auto"/>
        <w:rPr>
          <w:rFonts w:ascii="Arial" w:hAnsi="Arial"/>
        </w:rPr>
      </w:pPr>
    </w:p>
    <w:p w:rsidR="00900CBC" w:rsidRPr="00900CBC" w:rsidRDefault="00900CBC" w:rsidP="00900CBC">
      <w:pPr>
        <w:pStyle w:val="ListParagraph"/>
        <w:rPr>
          <w:rFonts w:ascii="Arial" w:hAnsi="Arial"/>
        </w:rPr>
      </w:pPr>
    </w:p>
    <w:p w:rsidR="00900CBC" w:rsidRPr="00900CBC" w:rsidRDefault="00900CBC" w:rsidP="00900CBC">
      <w:pPr>
        <w:spacing w:after="0" w:line="240" w:lineRule="auto"/>
        <w:rPr>
          <w:rFonts w:ascii="Arial" w:hAnsi="Arial"/>
        </w:rPr>
      </w:pPr>
    </w:p>
    <w:p w:rsidR="00BD0E10" w:rsidRPr="00F00DE4" w:rsidRDefault="00BD0E10" w:rsidP="00BD0E10">
      <w:pPr>
        <w:tabs>
          <w:tab w:val="left" w:pos="7088"/>
        </w:tabs>
        <w:jc w:val="both"/>
        <w:rPr>
          <w:rStyle w:val="tgc"/>
          <w:rFonts w:ascii="Arial" w:hAnsi="Arial" w:cs="Arial"/>
        </w:rPr>
      </w:pPr>
      <w:r w:rsidRPr="00F00DE4">
        <w:rPr>
          <w:rStyle w:val="tgc"/>
          <w:rFonts w:ascii="Arial" w:hAnsi="Arial" w:cs="Arial"/>
        </w:rPr>
        <w:tab/>
      </w:r>
    </w:p>
    <w:p w:rsidR="00C25224" w:rsidRPr="00C25224" w:rsidRDefault="00C25224" w:rsidP="00C25224">
      <w:pPr>
        <w:tabs>
          <w:tab w:val="left" w:pos="7088"/>
        </w:tabs>
        <w:jc w:val="both"/>
        <w:rPr>
          <w:rStyle w:val="tgc"/>
          <w:rFonts w:ascii="Arial" w:hAnsi="Arial" w:cs="Arial"/>
          <w:b/>
        </w:rPr>
      </w:pPr>
    </w:p>
    <w:p w:rsidR="00C25224" w:rsidRPr="00C25224" w:rsidRDefault="00C25224" w:rsidP="00C25224">
      <w:pPr>
        <w:tabs>
          <w:tab w:val="left" w:pos="7088"/>
        </w:tabs>
        <w:ind w:left="360"/>
        <w:jc w:val="both"/>
        <w:rPr>
          <w:rStyle w:val="tgc"/>
          <w:rFonts w:ascii="Arial" w:hAnsi="Arial" w:cs="Arial"/>
          <w:b/>
        </w:rPr>
      </w:pPr>
    </w:p>
    <w:p w:rsidR="00C25224" w:rsidRPr="00C25224" w:rsidRDefault="00C25224" w:rsidP="00C25224">
      <w:pPr>
        <w:tabs>
          <w:tab w:val="left" w:pos="7088"/>
        </w:tabs>
        <w:jc w:val="both"/>
        <w:rPr>
          <w:rStyle w:val="tgc"/>
          <w:rFonts w:ascii="Arial" w:hAnsi="Arial" w:cs="Arial"/>
          <w:b/>
        </w:rPr>
      </w:pPr>
      <w:r>
        <w:rPr>
          <w:rStyle w:val="tgc"/>
          <w:rFonts w:ascii="Arial" w:hAnsi="Arial" w:cs="Arial"/>
          <w:b/>
        </w:rPr>
        <w:tab/>
      </w:r>
    </w:p>
    <w:p w:rsidR="002C5BEB" w:rsidRPr="002C5BEB" w:rsidRDefault="002C5BEB" w:rsidP="002C5BEB">
      <w:pPr>
        <w:pStyle w:val="ListParagraph"/>
        <w:rPr>
          <w:rStyle w:val="tgc"/>
          <w:rFonts w:ascii="Arial" w:hAnsi="Arial" w:cs="Arial"/>
          <w:b/>
          <w:bCs/>
          <w:color w:val="222222"/>
        </w:rPr>
      </w:pPr>
    </w:p>
    <w:p w:rsidR="00901AE8" w:rsidRPr="00901AE8" w:rsidRDefault="00901AE8" w:rsidP="00901AE8">
      <w:pPr>
        <w:pStyle w:val="ListParagraph"/>
        <w:rPr>
          <w:rFonts w:ascii="Arial" w:hAnsi="Arial" w:cs="Arial"/>
        </w:rPr>
      </w:pPr>
    </w:p>
    <w:p w:rsidR="00901AE8" w:rsidRPr="00901AE8" w:rsidRDefault="00901AE8" w:rsidP="00901AE8">
      <w:pPr>
        <w:tabs>
          <w:tab w:val="left" w:pos="7088"/>
        </w:tabs>
        <w:jc w:val="both"/>
        <w:rPr>
          <w:rFonts w:ascii="Arial" w:hAnsi="Arial" w:cs="Arial"/>
        </w:rPr>
      </w:pPr>
    </w:p>
    <w:p w:rsidR="00FB73FC" w:rsidRPr="005A1E30" w:rsidRDefault="00FB73FC" w:rsidP="005A1E30"/>
    <w:sectPr w:rsidR="00FB73FC" w:rsidRPr="005A1E30" w:rsidSect="004D0018">
      <w:pgSz w:w="11906" w:h="16838"/>
      <w:pgMar w:top="993" w:right="1440" w:bottom="1440" w:left="1440" w:header="56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7B4" w:rsidRDefault="009567B4" w:rsidP="002C196B">
      <w:pPr>
        <w:spacing w:after="0" w:line="240" w:lineRule="auto"/>
      </w:pPr>
      <w:r>
        <w:separator/>
      </w:r>
    </w:p>
  </w:endnote>
  <w:endnote w:type="continuationSeparator" w:id="0">
    <w:p w:rsidR="009567B4" w:rsidRDefault="009567B4" w:rsidP="002C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7B4" w:rsidRDefault="009567B4" w:rsidP="002C196B">
      <w:pPr>
        <w:spacing w:after="0" w:line="240" w:lineRule="auto"/>
      </w:pPr>
      <w:r>
        <w:separator/>
      </w:r>
    </w:p>
  </w:footnote>
  <w:footnote w:type="continuationSeparator" w:id="0">
    <w:p w:rsidR="009567B4" w:rsidRDefault="009567B4" w:rsidP="002C196B">
      <w:pPr>
        <w:spacing w:after="0" w:line="240" w:lineRule="auto"/>
      </w:pPr>
      <w:r>
        <w:continuationSeparator/>
      </w:r>
    </w:p>
  </w:footnote>
  <w:footnote w:id="1">
    <w:p w:rsidR="008B549E" w:rsidRDefault="008B549E" w:rsidP="008B549E">
      <w:pPr>
        <w:pStyle w:val="FootnoteText"/>
      </w:pPr>
      <w:r>
        <w:rPr>
          <w:rStyle w:val="FootnoteReference"/>
        </w:rPr>
        <w:footnoteRef/>
      </w:r>
      <w:r>
        <w:t xml:space="preserve"> See Chapter 18.8.4(2) of </w:t>
      </w:r>
      <w:proofErr w:type="spellStart"/>
      <w:r>
        <w:t>Colinvaux’s</w:t>
      </w:r>
      <w:proofErr w:type="spellEnd"/>
      <w:r>
        <w:t xml:space="preserve"> Law of Insurance in New Zealand (2014) at page 1245 for more information and case references. Also see </w:t>
      </w:r>
      <w:r>
        <w:rPr>
          <w:i/>
        </w:rPr>
        <w:t xml:space="preserve">Global Process Systems Inc v Syarikat Takaful Malaysia </w:t>
      </w:r>
      <w:proofErr w:type="spellStart"/>
      <w:r>
        <w:rPr>
          <w:i/>
        </w:rPr>
        <w:t>Berhad</w:t>
      </w:r>
      <w:proofErr w:type="spellEnd"/>
      <w:r>
        <w:rPr>
          <w:i/>
        </w:rPr>
        <w:t xml:space="preserve"> (The </w:t>
      </w:r>
      <w:proofErr w:type="spellStart"/>
      <w:r>
        <w:rPr>
          <w:i/>
        </w:rPr>
        <w:t>Cendor</w:t>
      </w:r>
      <w:proofErr w:type="spellEnd"/>
      <w:r>
        <w:rPr>
          <w:i/>
        </w:rPr>
        <w:t xml:space="preserve"> </w:t>
      </w:r>
      <w:proofErr w:type="spellStart"/>
      <w:r>
        <w:rPr>
          <w:i/>
        </w:rPr>
        <w:t>Mopu</w:t>
      </w:r>
      <w:proofErr w:type="spellEnd"/>
      <w:r>
        <w:t xml:space="preserve"> [2011] UKSC 5, which provides the most recent significant clarification of inherent vice in the common law world.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4B0F"/>
    <w:multiLevelType w:val="hybridMultilevel"/>
    <w:tmpl w:val="9FC4B2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88551EC"/>
    <w:multiLevelType w:val="hybridMultilevel"/>
    <w:tmpl w:val="E9EED0D4"/>
    <w:lvl w:ilvl="0" w:tplc="F91ADF34">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529B5B11"/>
    <w:multiLevelType w:val="hybridMultilevel"/>
    <w:tmpl w:val="A79A63C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 w15:restartNumberingAfterBreak="0">
    <w:nsid w:val="673E6FC9"/>
    <w:multiLevelType w:val="hybridMultilevel"/>
    <w:tmpl w:val="846C8A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6B"/>
    <w:rsid w:val="00052D25"/>
    <w:rsid w:val="000F141A"/>
    <w:rsid w:val="00131304"/>
    <w:rsid w:val="00132095"/>
    <w:rsid w:val="0013489C"/>
    <w:rsid w:val="001463C7"/>
    <w:rsid w:val="00157949"/>
    <w:rsid w:val="00165088"/>
    <w:rsid w:val="00186C14"/>
    <w:rsid w:val="0029068D"/>
    <w:rsid w:val="002B22A2"/>
    <w:rsid w:val="002C196B"/>
    <w:rsid w:val="002C5BEB"/>
    <w:rsid w:val="003154FD"/>
    <w:rsid w:val="003D0633"/>
    <w:rsid w:val="004D0018"/>
    <w:rsid w:val="00594B0C"/>
    <w:rsid w:val="005A1E30"/>
    <w:rsid w:val="005F097A"/>
    <w:rsid w:val="00622CA6"/>
    <w:rsid w:val="007A3B20"/>
    <w:rsid w:val="007B1E03"/>
    <w:rsid w:val="007F4C59"/>
    <w:rsid w:val="00822F5F"/>
    <w:rsid w:val="0084646C"/>
    <w:rsid w:val="008B549E"/>
    <w:rsid w:val="008B57A7"/>
    <w:rsid w:val="00900CBC"/>
    <w:rsid w:val="00901AE8"/>
    <w:rsid w:val="009567B4"/>
    <w:rsid w:val="009638F3"/>
    <w:rsid w:val="009D47D7"/>
    <w:rsid w:val="00AE04AC"/>
    <w:rsid w:val="00B3110A"/>
    <w:rsid w:val="00BB0F2E"/>
    <w:rsid w:val="00BD0E10"/>
    <w:rsid w:val="00C06F16"/>
    <w:rsid w:val="00C25224"/>
    <w:rsid w:val="00C34FDD"/>
    <w:rsid w:val="00C809D8"/>
    <w:rsid w:val="00D535B9"/>
    <w:rsid w:val="00D81EE3"/>
    <w:rsid w:val="00E477C2"/>
    <w:rsid w:val="00E543FD"/>
    <w:rsid w:val="00F00461"/>
    <w:rsid w:val="00F00DE4"/>
    <w:rsid w:val="00FB73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CC0D2EA-45EF-4B76-BC41-8501092F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96B"/>
  </w:style>
  <w:style w:type="paragraph" w:styleId="Footer">
    <w:name w:val="footer"/>
    <w:basedOn w:val="Normal"/>
    <w:link w:val="FooterChar"/>
    <w:uiPriority w:val="99"/>
    <w:unhideWhenUsed/>
    <w:rsid w:val="002C1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96B"/>
  </w:style>
  <w:style w:type="character" w:styleId="Hyperlink">
    <w:name w:val="Hyperlink"/>
    <w:basedOn w:val="DefaultParagraphFont"/>
    <w:uiPriority w:val="99"/>
    <w:unhideWhenUsed/>
    <w:rsid w:val="002C196B"/>
    <w:rPr>
      <w:color w:val="0563C1" w:themeColor="hyperlink"/>
      <w:u w:val="single"/>
    </w:rPr>
  </w:style>
  <w:style w:type="paragraph" w:styleId="ListParagraph">
    <w:name w:val="List Paragraph"/>
    <w:basedOn w:val="Normal"/>
    <w:uiPriority w:val="34"/>
    <w:qFormat/>
    <w:rsid w:val="002C196B"/>
    <w:pPr>
      <w:spacing w:line="256" w:lineRule="auto"/>
      <w:ind w:left="720"/>
      <w:contextualSpacing/>
    </w:pPr>
  </w:style>
  <w:style w:type="character" w:customStyle="1" w:styleId="tgc">
    <w:name w:val="_tgc"/>
    <w:basedOn w:val="DefaultParagraphFont"/>
    <w:rsid w:val="002C5BEB"/>
  </w:style>
  <w:style w:type="paragraph" w:styleId="BalloonText">
    <w:name w:val="Balloon Text"/>
    <w:basedOn w:val="Normal"/>
    <w:link w:val="BalloonTextChar"/>
    <w:uiPriority w:val="99"/>
    <w:semiHidden/>
    <w:unhideWhenUsed/>
    <w:rsid w:val="008B5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7A7"/>
    <w:rPr>
      <w:rFonts w:ascii="Segoe UI" w:hAnsi="Segoe UI" w:cs="Segoe UI"/>
      <w:sz w:val="18"/>
      <w:szCs w:val="18"/>
    </w:rPr>
  </w:style>
  <w:style w:type="paragraph" w:styleId="FootnoteText">
    <w:name w:val="footnote text"/>
    <w:basedOn w:val="Normal"/>
    <w:link w:val="FootnoteTextChar"/>
    <w:uiPriority w:val="99"/>
    <w:semiHidden/>
    <w:unhideWhenUsed/>
    <w:rsid w:val="008B5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549E"/>
    <w:rPr>
      <w:sz w:val="20"/>
      <w:szCs w:val="20"/>
    </w:rPr>
  </w:style>
  <w:style w:type="character" w:styleId="FootnoteReference">
    <w:name w:val="footnote reference"/>
    <w:basedOn w:val="DefaultParagraphFont"/>
    <w:uiPriority w:val="99"/>
    <w:semiHidden/>
    <w:unhideWhenUsed/>
    <w:rsid w:val="008B5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26680">
      <w:bodyDiv w:val="1"/>
      <w:marLeft w:val="0"/>
      <w:marRight w:val="0"/>
      <w:marTop w:val="0"/>
      <w:marBottom w:val="0"/>
      <w:divBdr>
        <w:top w:val="none" w:sz="0" w:space="0" w:color="auto"/>
        <w:left w:val="none" w:sz="0" w:space="0" w:color="auto"/>
        <w:bottom w:val="none" w:sz="0" w:space="0" w:color="auto"/>
        <w:right w:val="none" w:sz="0" w:space="0" w:color="auto"/>
      </w:divBdr>
    </w:div>
    <w:div w:id="469327526">
      <w:bodyDiv w:val="1"/>
      <w:marLeft w:val="0"/>
      <w:marRight w:val="0"/>
      <w:marTop w:val="0"/>
      <w:marBottom w:val="0"/>
      <w:divBdr>
        <w:top w:val="none" w:sz="0" w:space="0" w:color="auto"/>
        <w:left w:val="none" w:sz="0" w:space="0" w:color="auto"/>
        <w:bottom w:val="none" w:sz="0" w:space="0" w:color="auto"/>
        <w:right w:val="none" w:sz="0" w:space="0" w:color="auto"/>
      </w:divBdr>
    </w:div>
    <w:div w:id="597836158">
      <w:bodyDiv w:val="1"/>
      <w:marLeft w:val="0"/>
      <w:marRight w:val="0"/>
      <w:marTop w:val="0"/>
      <w:marBottom w:val="0"/>
      <w:divBdr>
        <w:top w:val="none" w:sz="0" w:space="0" w:color="auto"/>
        <w:left w:val="none" w:sz="0" w:space="0" w:color="auto"/>
        <w:bottom w:val="none" w:sz="0" w:space="0" w:color="auto"/>
        <w:right w:val="none" w:sz="0" w:space="0" w:color="auto"/>
      </w:divBdr>
    </w:div>
    <w:div w:id="1124084662">
      <w:bodyDiv w:val="1"/>
      <w:marLeft w:val="0"/>
      <w:marRight w:val="0"/>
      <w:marTop w:val="0"/>
      <w:marBottom w:val="0"/>
      <w:divBdr>
        <w:top w:val="none" w:sz="0" w:space="0" w:color="auto"/>
        <w:left w:val="none" w:sz="0" w:space="0" w:color="auto"/>
        <w:bottom w:val="none" w:sz="0" w:space="0" w:color="auto"/>
        <w:right w:val="none" w:sz="0" w:space="0" w:color="auto"/>
      </w:divBdr>
      <w:divsChild>
        <w:div w:id="1722557060">
          <w:marLeft w:val="0"/>
          <w:marRight w:val="0"/>
          <w:marTop w:val="0"/>
          <w:marBottom w:val="0"/>
          <w:divBdr>
            <w:top w:val="none" w:sz="0" w:space="0" w:color="auto"/>
            <w:left w:val="none" w:sz="0" w:space="0" w:color="auto"/>
            <w:bottom w:val="none" w:sz="0" w:space="0" w:color="auto"/>
            <w:right w:val="none" w:sz="0" w:space="0" w:color="auto"/>
          </w:divBdr>
          <w:divsChild>
            <w:div w:id="2066831702">
              <w:marLeft w:val="0"/>
              <w:marRight w:val="0"/>
              <w:marTop w:val="0"/>
              <w:marBottom w:val="0"/>
              <w:divBdr>
                <w:top w:val="none" w:sz="0" w:space="0" w:color="auto"/>
                <w:left w:val="none" w:sz="0" w:space="0" w:color="auto"/>
                <w:bottom w:val="none" w:sz="0" w:space="0" w:color="auto"/>
                <w:right w:val="none" w:sz="0" w:space="0" w:color="auto"/>
              </w:divBdr>
              <w:divsChild>
                <w:div w:id="1338457406">
                  <w:marLeft w:val="0"/>
                  <w:marRight w:val="0"/>
                  <w:marTop w:val="0"/>
                  <w:marBottom w:val="0"/>
                  <w:divBdr>
                    <w:top w:val="none" w:sz="0" w:space="0" w:color="auto"/>
                    <w:left w:val="none" w:sz="0" w:space="0" w:color="auto"/>
                    <w:bottom w:val="none" w:sz="0" w:space="0" w:color="auto"/>
                    <w:right w:val="none" w:sz="0" w:space="0" w:color="auto"/>
                  </w:divBdr>
                  <w:divsChild>
                    <w:div w:id="204223777">
                      <w:marLeft w:val="0"/>
                      <w:marRight w:val="0"/>
                      <w:marTop w:val="0"/>
                      <w:marBottom w:val="0"/>
                      <w:divBdr>
                        <w:top w:val="none" w:sz="0" w:space="0" w:color="auto"/>
                        <w:left w:val="none" w:sz="0" w:space="0" w:color="auto"/>
                        <w:bottom w:val="none" w:sz="0" w:space="0" w:color="auto"/>
                        <w:right w:val="none" w:sz="0" w:space="0" w:color="auto"/>
                      </w:divBdr>
                      <w:divsChild>
                        <w:div w:id="2057463212">
                          <w:marLeft w:val="0"/>
                          <w:marRight w:val="0"/>
                          <w:marTop w:val="0"/>
                          <w:marBottom w:val="0"/>
                          <w:divBdr>
                            <w:top w:val="none" w:sz="0" w:space="0" w:color="auto"/>
                            <w:left w:val="none" w:sz="0" w:space="0" w:color="auto"/>
                            <w:bottom w:val="none" w:sz="0" w:space="0" w:color="auto"/>
                            <w:right w:val="none" w:sz="0" w:space="0" w:color="auto"/>
                          </w:divBdr>
                          <w:divsChild>
                            <w:div w:id="1053894078">
                              <w:marLeft w:val="0"/>
                              <w:marRight w:val="0"/>
                              <w:marTop w:val="0"/>
                              <w:marBottom w:val="0"/>
                              <w:divBdr>
                                <w:top w:val="none" w:sz="0" w:space="0" w:color="auto"/>
                                <w:left w:val="none" w:sz="0" w:space="0" w:color="auto"/>
                                <w:bottom w:val="none" w:sz="0" w:space="0" w:color="auto"/>
                                <w:right w:val="none" w:sz="0" w:space="0" w:color="auto"/>
                              </w:divBdr>
                              <w:divsChild>
                                <w:div w:id="1117261983">
                                  <w:marLeft w:val="0"/>
                                  <w:marRight w:val="0"/>
                                  <w:marTop w:val="0"/>
                                  <w:marBottom w:val="0"/>
                                  <w:divBdr>
                                    <w:top w:val="none" w:sz="0" w:space="0" w:color="auto"/>
                                    <w:left w:val="none" w:sz="0" w:space="0" w:color="auto"/>
                                    <w:bottom w:val="none" w:sz="0" w:space="0" w:color="auto"/>
                                    <w:right w:val="none" w:sz="0" w:space="0" w:color="auto"/>
                                  </w:divBdr>
                                  <w:divsChild>
                                    <w:div w:id="4790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24607">
      <w:bodyDiv w:val="1"/>
      <w:marLeft w:val="0"/>
      <w:marRight w:val="0"/>
      <w:marTop w:val="0"/>
      <w:marBottom w:val="0"/>
      <w:divBdr>
        <w:top w:val="none" w:sz="0" w:space="0" w:color="auto"/>
        <w:left w:val="none" w:sz="0" w:space="0" w:color="auto"/>
        <w:bottom w:val="none" w:sz="0" w:space="0" w:color="auto"/>
        <w:right w:val="none" w:sz="0" w:space="0" w:color="auto"/>
      </w:divBdr>
    </w:div>
    <w:div w:id="200110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sionbill@mbie.govt.n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icnz.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Lucas</dc:creator>
  <cp:keywords/>
  <dc:description/>
  <cp:lastModifiedBy>John Lucas</cp:lastModifiedBy>
  <cp:revision>20</cp:revision>
  <cp:lastPrinted>2015-11-25T19:38:00Z</cp:lastPrinted>
  <dcterms:created xsi:type="dcterms:W3CDTF">2015-11-23T01:29:00Z</dcterms:created>
  <dcterms:modified xsi:type="dcterms:W3CDTF">2015-11-25T20:04:00Z</dcterms:modified>
</cp:coreProperties>
</file>