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15" w:rsidRDefault="00A85B15" w:rsidP="00A85B15">
      <w:pPr>
        <w:tabs>
          <w:tab w:val="left" w:pos="1575"/>
        </w:tabs>
        <w:jc w:val="center"/>
        <w:rPr>
          <w:rFonts w:ascii="Arial" w:hAnsi="Arial" w:cs="Arial"/>
          <w:b/>
          <w:sz w:val="52"/>
          <w:szCs w:val="52"/>
        </w:rPr>
      </w:pPr>
      <w:r>
        <w:rPr>
          <w:rFonts w:ascii="Arial" w:hAnsi="Arial" w:cs="Arial"/>
          <w:b/>
          <w:sz w:val="52"/>
          <w:szCs w:val="52"/>
        </w:rPr>
        <w:t xml:space="preserve">SUPPLEMENTARY </w:t>
      </w:r>
      <w:r w:rsidRPr="00EC67C5">
        <w:rPr>
          <w:rFonts w:ascii="Arial" w:hAnsi="Arial" w:cs="Arial"/>
          <w:b/>
          <w:sz w:val="52"/>
          <w:szCs w:val="52"/>
        </w:rPr>
        <w:t>SUBMISSION</w:t>
      </w:r>
    </w:p>
    <w:p w:rsidR="00A85B15" w:rsidRPr="002E4B21" w:rsidRDefault="00EF0870" w:rsidP="00A85B15">
      <w:pPr>
        <w:jc w:val="center"/>
        <w:rPr>
          <w:rFonts w:ascii="Arial" w:hAnsi="Arial" w:cs="Arial"/>
          <w:sz w:val="40"/>
          <w:szCs w:val="40"/>
        </w:rPr>
      </w:pPr>
      <w:r>
        <w:rPr>
          <w:rFonts w:ascii="Arial" w:hAnsi="Arial" w:cs="Arial"/>
          <w:sz w:val="40"/>
          <w:szCs w:val="40"/>
        </w:rPr>
        <w:t>To</w:t>
      </w:r>
      <w:r w:rsidR="00A85B15" w:rsidRPr="002E4B21">
        <w:rPr>
          <w:rFonts w:ascii="Arial" w:hAnsi="Arial" w:cs="Arial"/>
          <w:sz w:val="40"/>
          <w:szCs w:val="40"/>
        </w:rPr>
        <w:t xml:space="preserve"> </w:t>
      </w:r>
    </w:p>
    <w:p w:rsidR="00A85B15" w:rsidRPr="002E4B21" w:rsidRDefault="00A85B15" w:rsidP="00A85B15">
      <w:pPr>
        <w:jc w:val="center"/>
        <w:rPr>
          <w:rFonts w:ascii="Arial" w:hAnsi="Arial" w:cs="Arial"/>
          <w:sz w:val="40"/>
          <w:szCs w:val="40"/>
        </w:rPr>
      </w:pPr>
      <w:r w:rsidRPr="002E4B21">
        <w:rPr>
          <w:rFonts w:ascii="Arial" w:hAnsi="Arial" w:cs="Arial"/>
          <w:sz w:val="40"/>
          <w:szCs w:val="40"/>
        </w:rPr>
        <w:t xml:space="preserve"> </w:t>
      </w:r>
    </w:p>
    <w:p w:rsidR="00A85B15" w:rsidRDefault="00A85B15" w:rsidP="00A85B15">
      <w:pPr>
        <w:jc w:val="center"/>
        <w:rPr>
          <w:rFonts w:ascii="Arial" w:hAnsi="Arial" w:cs="Arial"/>
          <w:sz w:val="40"/>
          <w:szCs w:val="40"/>
        </w:rPr>
      </w:pPr>
      <w:r>
        <w:rPr>
          <w:rFonts w:ascii="Arial" w:hAnsi="Arial" w:cs="Arial"/>
          <w:sz w:val="40"/>
          <w:szCs w:val="40"/>
        </w:rPr>
        <w:t>LOCAL GOVERNMENT AND ENVIROMENT COMMITTEE</w:t>
      </w:r>
    </w:p>
    <w:p w:rsidR="00A85B15" w:rsidRPr="002E4B21" w:rsidRDefault="00A85B15" w:rsidP="00A85B15">
      <w:pPr>
        <w:jc w:val="center"/>
        <w:rPr>
          <w:rFonts w:ascii="Arial" w:hAnsi="Arial" w:cs="Arial"/>
          <w:sz w:val="40"/>
          <w:szCs w:val="40"/>
        </w:rPr>
      </w:pPr>
    </w:p>
    <w:p w:rsidR="00A85B15" w:rsidRDefault="00A85B15" w:rsidP="00A85B15">
      <w:pPr>
        <w:jc w:val="center"/>
        <w:rPr>
          <w:rFonts w:ascii="Arial" w:hAnsi="Arial" w:cs="Arial"/>
          <w:sz w:val="24"/>
          <w:szCs w:val="24"/>
        </w:rPr>
      </w:pPr>
    </w:p>
    <w:p w:rsidR="00A85B15" w:rsidRDefault="00A85B15" w:rsidP="00A85B15">
      <w:pPr>
        <w:jc w:val="center"/>
        <w:rPr>
          <w:rFonts w:ascii="Arial" w:hAnsi="Arial" w:cs="Arial"/>
          <w:sz w:val="24"/>
          <w:szCs w:val="24"/>
        </w:rPr>
      </w:pPr>
    </w:p>
    <w:p w:rsidR="00A85B15" w:rsidRDefault="00A85B15" w:rsidP="00A85B15">
      <w:pPr>
        <w:jc w:val="center"/>
        <w:rPr>
          <w:rFonts w:ascii="Arial" w:hAnsi="Arial" w:cs="Arial"/>
          <w:sz w:val="24"/>
          <w:szCs w:val="24"/>
        </w:rPr>
      </w:pPr>
      <w:r w:rsidRPr="00EC67C5">
        <w:rPr>
          <w:rFonts w:ascii="Arial" w:hAnsi="Arial" w:cs="Arial"/>
          <w:sz w:val="40"/>
          <w:szCs w:val="40"/>
        </w:rPr>
        <w:t>F</w:t>
      </w:r>
      <w:r>
        <w:rPr>
          <w:rFonts w:ascii="Arial" w:hAnsi="Arial" w:cs="Arial"/>
          <w:sz w:val="40"/>
          <w:szCs w:val="40"/>
        </w:rPr>
        <w:t>rom</w:t>
      </w:r>
    </w:p>
    <w:p w:rsidR="00A85B15" w:rsidRDefault="00A85B15" w:rsidP="00A85B15">
      <w:pPr>
        <w:jc w:val="center"/>
        <w:rPr>
          <w:rFonts w:ascii="Arial" w:hAnsi="Arial" w:cs="Arial"/>
          <w:sz w:val="24"/>
          <w:szCs w:val="24"/>
        </w:rPr>
      </w:pPr>
      <w:r>
        <w:rPr>
          <w:noProof/>
          <w:lang w:eastAsia="en-NZ"/>
        </w:rPr>
        <w:drawing>
          <wp:inline distT="0" distB="0" distL="0" distR="0" wp14:anchorId="24B8F00F" wp14:editId="65DE41B8">
            <wp:extent cx="3124200" cy="533400"/>
            <wp:effectExtent l="0" t="0" r="0" b="0"/>
            <wp:docPr id="1" name="Picture 1" descr="C:\Users\gberge\Desktop\Addr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berge\Desktop\Address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533400"/>
                    </a:xfrm>
                    <a:prstGeom prst="rect">
                      <a:avLst/>
                    </a:prstGeom>
                    <a:noFill/>
                    <a:ln>
                      <a:noFill/>
                    </a:ln>
                  </pic:spPr>
                </pic:pic>
              </a:graphicData>
            </a:graphic>
          </wp:inline>
        </w:drawing>
      </w:r>
    </w:p>
    <w:p w:rsidR="00A85B15" w:rsidRDefault="00A85B15" w:rsidP="00A85B15">
      <w:pPr>
        <w:jc w:val="center"/>
        <w:rPr>
          <w:rFonts w:ascii="Arial" w:hAnsi="Arial" w:cs="Arial"/>
          <w:sz w:val="40"/>
          <w:szCs w:val="40"/>
        </w:rPr>
      </w:pPr>
    </w:p>
    <w:p w:rsidR="00A85B15" w:rsidRPr="00EC67C5" w:rsidRDefault="00EF0870" w:rsidP="00A85B15">
      <w:pPr>
        <w:jc w:val="center"/>
        <w:rPr>
          <w:rFonts w:ascii="Arial" w:hAnsi="Arial" w:cs="Arial"/>
          <w:sz w:val="40"/>
          <w:szCs w:val="40"/>
        </w:rPr>
      </w:pPr>
      <w:r>
        <w:rPr>
          <w:rFonts w:ascii="Arial" w:hAnsi="Arial" w:cs="Arial"/>
          <w:sz w:val="40"/>
          <w:szCs w:val="40"/>
        </w:rPr>
        <w:t>On</w:t>
      </w:r>
      <w:r w:rsidR="00A85B15" w:rsidRPr="00EC67C5">
        <w:rPr>
          <w:rFonts w:ascii="Arial" w:hAnsi="Arial" w:cs="Arial"/>
          <w:sz w:val="40"/>
          <w:szCs w:val="40"/>
        </w:rPr>
        <w:t xml:space="preserve"> </w:t>
      </w:r>
    </w:p>
    <w:p w:rsidR="00A85B15" w:rsidRDefault="00A85B15" w:rsidP="00A85B15">
      <w:pPr>
        <w:jc w:val="center"/>
        <w:rPr>
          <w:rFonts w:ascii="Arial" w:hAnsi="Arial" w:cs="Arial"/>
          <w:sz w:val="24"/>
          <w:szCs w:val="24"/>
        </w:rPr>
      </w:pPr>
    </w:p>
    <w:p w:rsidR="00A85B15" w:rsidRDefault="00A85B15" w:rsidP="00A85B15">
      <w:pPr>
        <w:jc w:val="center"/>
        <w:rPr>
          <w:rFonts w:ascii="Arial" w:hAnsi="Arial" w:cs="Arial"/>
          <w:sz w:val="24"/>
          <w:szCs w:val="24"/>
        </w:rPr>
      </w:pPr>
    </w:p>
    <w:p w:rsidR="00A85B15" w:rsidRPr="002E4B21" w:rsidRDefault="00A85B15" w:rsidP="00A85B15">
      <w:pPr>
        <w:jc w:val="center"/>
        <w:rPr>
          <w:rFonts w:ascii="Arial" w:hAnsi="Arial" w:cs="Arial"/>
          <w:b/>
          <w:sz w:val="40"/>
          <w:szCs w:val="40"/>
        </w:rPr>
      </w:pPr>
      <w:r w:rsidRPr="002E4B21">
        <w:rPr>
          <w:rFonts w:ascii="Arial" w:hAnsi="Arial" w:cs="Arial"/>
          <w:b/>
          <w:sz w:val="40"/>
          <w:szCs w:val="40"/>
        </w:rPr>
        <w:t>Build</w:t>
      </w:r>
      <w:r>
        <w:rPr>
          <w:rFonts w:ascii="Arial" w:hAnsi="Arial" w:cs="Arial"/>
          <w:b/>
          <w:sz w:val="40"/>
          <w:szCs w:val="40"/>
        </w:rPr>
        <w:t>ings (Earthquake-prone Buildings) Amendment Bill</w:t>
      </w:r>
    </w:p>
    <w:p w:rsidR="00A85B15" w:rsidRDefault="00A85B15" w:rsidP="00A85B15">
      <w:pPr>
        <w:jc w:val="center"/>
        <w:rPr>
          <w:rFonts w:ascii="Arial" w:hAnsi="Arial" w:cs="Arial"/>
          <w:b/>
          <w:sz w:val="52"/>
          <w:szCs w:val="52"/>
        </w:rPr>
      </w:pPr>
    </w:p>
    <w:p w:rsidR="00A85B15" w:rsidRDefault="00A85B15" w:rsidP="00A85B15">
      <w:pPr>
        <w:rPr>
          <w:rFonts w:ascii="Arial" w:hAnsi="Arial" w:cs="Arial"/>
          <w:sz w:val="24"/>
          <w:szCs w:val="24"/>
        </w:rPr>
      </w:pPr>
    </w:p>
    <w:p w:rsidR="00A85B15" w:rsidRDefault="00A85B15" w:rsidP="00A85B15">
      <w:pPr>
        <w:rPr>
          <w:rFonts w:ascii="Arial" w:hAnsi="Arial" w:cs="Arial"/>
          <w:b/>
          <w:sz w:val="24"/>
          <w:szCs w:val="24"/>
        </w:rPr>
      </w:pPr>
      <w:r>
        <w:rPr>
          <w:rFonts w:ascii="Arial" w:hAnsi="Arial" w:cs="Arial"/>
          <w:b/>
          <w:sz w:val="24"/>
          <w:szCs w:val="24"/>
        </w:rPr>
        <w:t>1</w:t>
      </w:r>
      <w:r w:rsidR="008C215E">
        <w:rPr>
          <w:rFonts w:ascii="Arial" w:hAnsi="Arial" w:cs="Arial"/>
          <w:b/>
          <w:sz w:val="24"/>
          <w:szCs w:val="24"/>
        </w:rPr>
        <w:t>6</w:t>
      </w:r>
      <w:r w:rsidRPr="002E4B21">
        <w:rPr>
          <w:rFonts w:ascii="Arial" w:hAnsi="Arial" w:cs="Arial"/>
          <w:b/>
          <w:sz w:val="24"/>
          <w:szCs w:val="24"/>
        </w:rPr>
        <w:t xml:space="preserve"> </w:t>
      </w:r>
      <w:r>
        <w:rPr>
          <w:rFonts w:ascii="Arial" w:hAnsi="Arial" w:cs="Arial"/>
          <w:b/>
          <w:sz w:val="24"/>
          <w:szCs w:val="24"/>
        </w:rPr>
        <w:t xml:space="preserve">July </w:t>
      </w:r>
      <w:r w:rsidRPr="002E4B21">
        <w:rPr>
          <w:rFonts w:ascii="Arial" w:hAnsi="Arial" w:cs="Arial"/>
          <w:b/>
          <w:sz w:val="24"/>
          <w:szCs w:val="24"/>
        </w:rPr>
        <w:t>201</w:t>
      </w:r>
      <w:r>
        <w:rPr>
          <w:rFonts w:ascii="Arial" w:hAnsi="Arial" w:cs="Arial"/>
          <w:b/>
          <w:sz w:val="24"/>
          <w:szCs w:val="24"/>
        </w:rPr>
        <w:t>5</w:t>
      </w:r>
      <w:r w:rsidRPr="002E4B21">
        <w:rPr>
          <w:rFonts w:ascii="Arial" w:hAnsi="Arial" w:cs="Arial"/>
          <w:b/>
          <w:sz w:val="24"/>
          <w:szCs w:val="24"/>
        </w:rPr>
        <w:t xml:space="preserve"> </w:t>
      </w:r>
    </w:p>
    <w:p w:rsidR="00A85B15" w:rsidRPr="002E4B21" w:rsidRDefault="00A85B15" w:rsidP="00A85B15">
      <w:pPr>
        <w:rPr>
          <w:rFonts w:ascii="Arial" w:hAnsi="Arial" w:cs="Arial"/>
          <w:b/>
          <w:sz w:val="24"/>
          <w:szCs w:val="24"/>
        </w:rPr>
      </w:pPr>
      <w:r>
        <w:rPr>
          <w:noProof/>
          <w:lang w:eastAsia="en-NZ"/>
        </w:rPr>
        <w:drawing>
          <wp:inline distT="0" distB="0" distL="0" distR="0" wp14:anchorId="1A8C1A9F" wp14:editId="0BE5F306">
            <wp:extent cx="2438400" cy="1219200"/>
            <wp:effectExtent l="0" t="0" r="0" b="0"/>
            <wp:docPr id="2" name="Picture 2" descr="C:\Users\gberge\Desktop\ICNZ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berge\Desktop\ICNZ Addres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p w:rsidR="00A85B15" w:rsidRDefault="00A85B15" w:rsidP="00A85B15">
      <w:pPr>
        <w:spacing w:after="0" w:line="276" w:lineRule="auto"/>
        <w:ind w:left="1440" w:hanging="1440"/>
      </w:pPr>
    </w:p>
    <w:p w:rsidR="00A85B15" w:rsidRPr="0010033D" w:rsidRDefault="00A85B15" w:rsidP="00A85B15">
      <w:pPr>
        <w:spacing w:after="0" w:line="276" w:lineRule="auto"/>
        <w:ind w:left="1440" w:hanging="1440"/>
      </w:pPr>
      <w:r>
        <w:t>Posted to</w:t>
      </w:r>
      <w:r>
        <w:tab/>
        <w:t xml:space="preserve">Local Government and Environment Committee Secretariat </w:t>
      </w:r>
    </w:p>
    <w:p w:rsidR="00A85B15" w:rsidRDefault="00A85B15" w:rsidP="00A85B15">
      <w:pPr>
        <w:spacing w:after="0" w:line="276" w:lineRule="auto"/>
      </w:pPr>
      <w:r w:rsidRPr="0010033D">
        <w:t>Emailed to:</w:t>
      </w:r>
      <w:r w:rsidRPr="0010033D">
        <w:tab/>
      </w:r>
      <w:r>
        <w:t>kate.barnes@parliament.govt.nz</w:t>
      </w:r>
    </w:p>
    <w:p w:rsidR="00A85B15" w:rsidRPr="0010033D" w:rsidRDefault="00A85B15" w:rsidP="00A85B15">
      <w:pPr>
        <w:spacing w:after="0" w:line="276" w:lineRule="auto"/>
      </w:pPr>
    </w:p>
    <w:p w:rsidR="00A85B15" w:rsidRPr="0010033D" w:rsidRDefault="00A85B15" w:rsidP="00A85B15">
      <w:pPr>
        <w:spacing w:after="0" w:line="276" w:lineRule="auto"/>
      </w:pPr>
    </w:p>
    <w:p w:rsidR="00A85B15" w:rsidRDefault="00A85B15" w:rsidP="00A85B15">
      <w:pPr>
        <w:spacing w:after="0" w:line="276" w:lineRule="auto"/>
        <w:rPr>
          <w:b/>
          <w:sz w:val="24"/>
          <w:szCs w:val="24"/>
        </w:rPr>
      </w:pPr>
      <w:r w:rsidRPr="00E563CA">
        <w:rPr>
          <w:b/>
          <w:sz w:val="24"/>
          <w:szCs w:val="24"/>
        </w:rPr>
        <w:t xml:space="preserve">ICNZ </w:t>
      </w:r>
      <w:r>
        <w:rPr>
          <w:b/>
          <w:sz w:val="24"/>
          <w:szCs w:val="24"/>
        </w:rPr>
        <w:t>Supplementary S</w:t>
      </w:r>
      <w:r w:rsidRPr="00E563CA">
        <w:rPr>
          <w:b/>
          <w:sz w:val="24"/>
          <w:szCs w:val="24"/>
        </w:rPr>
        <w:t>ubmission on the Building</w:t>
      </w:r>
      <w:r>
        <w:rPr>
          <w:b/>
          <w:sz w:val="24"/>
          <w:szCs w:val="24"/>
        </w:rPr>
        <w:t>s (Earthquake-prone Buildings) Amendment Bill</w:t>
      </w:r>
    </w:p>
    <w:p w:rsidR="00A85B15" w:rsidRPr="0010033D" w:rsidRDefault="00A85B15" w:rsidP="00A85B15">
      <w:pPr>
        <w:spacing w:after="0" w:line="276" w:lineRule="auto"/>
      </w:pPr>
    </w:p>
    <w:p w:rsidR="00A85B15" w:rsidRPr="0010033D" w:rsidRDefault="00A85B15" w:rsidP="00A85B15">
      <w:pPr>
        <w:spacing w:after="0" w:line="276" w:lineRule="auto"/>
        <w:ind w:left="426"/>
      </w:pPr>
      <w:r w:rsidRPr="0010033D">
        <w:t xml:space="preserve">Thank you for the opportunity to submit </w:t>
      </w:r>
      <w:r>
        <w:t xml:space="preserve">again </w:t>
      </w:r>
      <w:r w:rsidRPr="0010033D">
        <w:t>on the Building</w:t>
      </w:r>
      <w:r>
        <w:t>s</w:t>
      </w:r>
      <w:r w:rsidRPr="0010033D">
        <w:t xml:space="preserve"> </w:t>
      </w:r>
      <w:r>
        <w:t>(Earthquake-prone Building) Amendment Bill</w:t>
      </w:r>
    </w:p>
    <w:p w:rsidR="00EA17F8" w:rsidRDefault="00EA17F8" w:rsidP="008E6764">
      <w:pPr>
        <w:spacing w:after="0" w:line="276" w:lineRule="auto"/>
        <w:ind w:left="851"/>
      </w:pPr>
    </w:p>
    <w:p w:rsidR="00333F77" w:rsidRPr="00E563CA" w:rsidRDefault="00333F77" w:rsidP="008E6764">
      <w:pPr>
        <w:spacing w:line="276" w:lineRule="auto"/>
        <w:ind w:firstLine="426"/>
        <w:rPr>
          <w:b/>
          <w:sz w:val="24"/>
          <w:szCs w:val="24"/>
        </w:rPr>
      </w:pPr>
      <w:r w:rsidRPr="00E563CA">
        <w:rPr>
          <w:b/>
          <w:sz w:val="24"/>
          <w:szCs w:val="24"/>
        </w:rPr>
        <w:t xml:space="preserve">About us </w:t>
      </w:r>
      <w:r>
        <w:rPr>
          <w:b/>
          <w:sz w:val="24"/>
          <w:szCs w:val="24"/>
        </w:rPr>
        <w:t>and our interests in the Consultation Document</w:t>
      </w:r>
      <w:r w:rsidRPr="00E563CA">
        <w:rPr>
          <w:b/>
          <w:sz w:val="24"/>
          <w:szCs w:val="24"/>
        </w:rPr>
        <w:t xml:space="preserve"> </w:t>
      </w:r>
    </w:p>
    <w:p w:rsidR="00333F77" w:rsidRPr="0010033D" w:rsidRDefault="00333F77" w:rsidP="000F32B3">
      <w:pPr>
        <w:pStyle w:val="ListParagraph"/>
        <w:numPr>
          <w:ilvl w:val="0"/>
          <w:numId w:val="1"/>
        </w:numPr>
        <w:spacing w:after="0" w:line="240" w:lineRule="auto"/>
        <w:ind w:left="426" w:hanging="426"/>
      </w:pPr>
      <w:r w:rsidRPr="0010033D">
        <w:t xml:space="preserve">ICNZ represents the interests of the fire and general insurance industry in New Zealand. Our 28 members insure over $600 billion worth of New Zealand assets and liabilities. </w:t>
      </w:r>
    </w:p>
    <w:p w:rsidR="00333F77" w:rsidRPr="0010033D" w:rsidRDefault="00333F77" w:rsidP="000F32B3">
      <w:pPr>
        <w:spacing w:after="0" w:line="240" w:lineRule="auto"/>
        <w:ind w:left="567" w:hanging="567"/>
      </w:pPr>
    </w:p>
    <w:p w:rsidR="00333F77" w:rsidRDefault="00333F77" w:rsidP="000F32B3">
      <w:pPr>
        <w:pStyle w:val="ListParagraph"/>
        <w:numPr>
          <w:ilvl w:val="0"/>
          <w:numId w:val="1"/>
        </w:numPr>
        <w:spacing w:after="0" w:line="240" w:lineRule="auto"/>
        <w:ind w:left="426" w:hanging="426"/>
        <w:rPr>
          <w:szCs w:val="20"/>
        </w:rPr>
      </w:pPr>
      <w:r w:rsidRPr="0010033D">
        <w:rPr>
          <w:szCs w:val="20"/>
        </w:rPr>
        <w:t xml:space="preserve">The Insurance Council’s members pay property damage claims that allow New Zealanders to recover from a Natural Disaster. As at the end of </w:t>
      </w:r>
      <w:r w:rsidR="008E13CC">
        <w:rPr>
          <w:szCs w:val="20"/>
        </w:rPr>
        <w:t xml:space="preserve">June </w:t>
      </w:r>
      <w:r w:rsidRPr="0010033D">
        <w:rPr>
          <w:szCs w:val="20"/>
        </w:rPr>
        <w:t>2015 Insurance Council members had paid over $1</w:t>
      </w:r>
      <w:r w:rsidR="008E13CC">
        <w:rPr>
          <w:szCs w:val="20"/>
        </w:rPr>
        <w:t>5</w:t>
      </w:r>
      <w:r w:rsidRPr="0010033D">
        <w:rPr>
          <w:szCs w:val="20"/>
        </w:rPr>
        <w:t xml:space="preserve"> billion in property claims for the rebuild of Canterbury. </w:t>
      </w:r>
    </w:p>
    <w:p w:rsidR="00A03C41" w:rsidRPr="00A03C41" w:rsidRDefault="00A03C41" w:rsidP="000F32B3">
      <w:pPr>
        <w:pStyle w:val="ListParagraph"/>
        <w:spacing w:after="0" w:line="240" w:lineRule="auto"/>
        <w:rPr>
          <w:szCs w:val="20"/>
        </w:rPr>
      </w:pPr>
    </w:p>
    <w:p w:rsidR="00A03C41" w:rsidRDefault="00A03C41" w:rsidP="000F32B3">
      <w:pPr>
        <w:pStyle w:val="ListParagraph"/>
        <w:numPr>
          <w:ilvl w:val="0"/>
          <w:numId w:val="1"/>
        </w:numPr>
        <w:spacing w:after="0" w:line="240" w:lineRule="auto"/>
        <w:ind w:left="426" w:hanging="426"/>
        <w:rPr>
          <w:szCs w:val="20"/>
        </w:rPr>
      </w:pPr>
      <w:r>
        <w:rPr>
          <w:szCs w:val="20"/>
        </w:rPr>
        <w:t>As outlined in our original submission 17 April 2014, (copy attached) the Insurance Council and its members s</w:t>
      </w:r>
      <w:r w:rsidR="00BB12ED">
        <w:rPr>
          <w:szCs w:val="20"/>
        </w:rPr>
        <w:t xml:space="preserve">upport the intent of this bill.  </w:t>
      </w:r>
      <w:r>
        <w:rPr>
          <w:szCs w:val="20"/>
        </w:rPr>
        <w:t xml:space="preserve">Current legislation </w:t>
      </w:r>
      <w:r w:rsidR="00BB12ED">
        <w:rPr>
          <w:szCs w:val="20"/>
        </w:rPr>
        <w:t xml:space="preserve">and </w:t>
      </w:r>
      <w:r>
        <w:rPr>
          <w:szCs w:val="20"/>
        </w:rPr>
        <w:t xml:space="preserve">controls over Earthquake-prone Buildings do need improving as many lessons </w:t>
      </w:r>
      <w:r w:rsidR="00BB12ED">
        <w:rPr>
          <w:szCs w:val="20"/>
        </w:rPr>
        <w:t>have been</w:t>
      </w:r>
      <w:r>
        <w:rPr>
          <w:szCs w:val="20"/>
        </w:rPr>
        <w:t xml:space="preserve"> learned following the </w:t>
      </w:r>
      <w:r w:rsidR="00A25DAD">
        <w:rPr>
          <w:szCs w:val="20"/>
        </w:rPr>
        <w:t xml:space="preserve">recent </w:t>
      </w:r>
      <w:r>
        <w:rPr>
          <w:szCs w:val="20"/>
        </w:rPr>
        <w:t>Canterbury and Seddon earthquakes sequence events.</w:t>
      </w:r>
    </w:p>
    <w:p w:rsidR="000F32B3" w:rsidRDefault="000F32B3" w:rsidP="00EB5A26">
      <w:pPr>
        <w:spacing w:after="0" w:line="240" w:lineRule="auto"/>
        <w:ind w:left="142"/>
        <w:rPr>
          <w:b/>
          <w:szCs w:val="20"/>
        </w:rPr>
      </w:pPr>
    </w:p>
    <w:p w:rsidR="00A950AA" w:rsidRPr="00EB5A26" w:rsidRDefault="00A03C41" w:rsidP="00EB5A26">
      <w:pPr>
        <w:spacing w:after="0" w:line="240" w:lineRule="auto"/>
        <w:ind w:left="142"/>
        <w:rPr>
          <w:szCs w:val="20"/>
        </w:rPr>
      </w:pPr>
      <w:r w:rsidRPr="00EB5A26">
        <w:rPr>
          <w:b/>
          <w:szCs w:val="20"/>
        </w:rPr>
        <w:t>Meaning of an Earthquake-prone Building Section133</w:t>
      </w:r>
      <w:r w:rsidR="00BB12ED" w:rsidRPr="00EB5A26">
        <w:rPr>
          <w:b/>
          <w:szCs w:val="20"/>
        </w:rPr>
        <w:t>a</w:t>
      </w:r>
      <w:r w:rsidRPr="00EB5A26">
        <w:rPr>
          <w:b/>
          <w:szCs w:val="20"/>
        </w:rPr>
        <w:t>b</w:t>
      </w:r>
    </w:p>
    <w:p w:rsidR="00A950AA" w:rsidRPr="00A950AA" w:rsidRDefault="00A950AA" w:rsidP="00A950AA">
      <w:pPr>
        <w:spacing w:after="0" w:line="240" w:lineRule="auto"/>
        <w:rPr>
          <w:szCs w:val="20"/>
        </w:rPr>
      </w:pPr>
    </w:p>
    <w:p w:rsidR="008F5F9F" w:rsidRPr="00EB5A26" w:rsidRDefault="00A03C41" w:rsidP="00EB5A26">
      <w:pPr>
        <w:pStyle w:val="ListParagraph"/>
        <w:numPr>
          <w:ilvl w:val="0"/>
          <w:numId w:val="1"/>
        </w:numPr>
        <w:spacing w:after="0" w:line="240" w:lineRule="auto"/>
        <w:rPr>
          <w:szCs w:val="20"/>
        </w:rPr>
      </w:pPr>
      <w:r w:rsidRPr="00EB5A26">
        <w:rPr>
          <w:szCs w:val="20"/>
        </w:rPr>
        <w:t xml:space="preserve">The Insurance Council notes the changes to the meaning of an Earthquake-prone Building.  The </w:t>
      </w:r>
      <w:r w:rsidR="00A25DAD" w:rsidRPr="00EB5A26">
        <w:rPr>
          <w:szCs w:val="20"/>
        </w:rPr>
        <w:t xml:space="preserve">   </w:t>
      </w:r>
      <w:r w:rsidRPr="00EB5A26">
        <w:rPr>
          <w:szCs w:val="20"/>
        </w:rPr>
        <w:t xml:space="preserve">Insurance </w:t>
      </w:r>
      <w:r w:rsidR="00BB12ED" w:rsidRPr="00EB5A26">
        <w:rPr>
          <w:szCs w:val="20"/>
        </w:rPr>
        <w:t xml:space="preserve">Council however  </w:t>
      </w:r>
      <w:r w:rsidRPr="00EB5A26">
        <w:rPr>
          <w:szCs w:val="20"/>
        </w:rPr>
        <w:t xml:space="preserve">is concerned </w:t>
      </w:r>
      <w:r w:rsidR="00BB12ED" w:rsidRPr="00EB5A26">
        <w:rPr>
          <w:szCs w:val="20"/>
        </w:rPr>
        <w:t xml:space="preserve">that </w:t>
      </w:r>
      <w:r w:rsidRPr="00EB5A26">
        <w:rPr>
          <w:szCs w:val="20"/>
        </w:rPr>
        <w:t>the issue raised in our submission (17 April 2014) concerning internal non-structural components such as ceilings and above ceiling s</w:t>
      </w:r>
      <w:r w:rsidR="00BB12ED" w:rsidRPr="00EB5A26">
        <w:rPr>
          <w:szCs w:val="20"/>
        </w:rPr>
        <w:t>ervices</w:t>
      </w:r>
      <w:r w:rsidRPr="00EB5A26">
        <w:rPr>
          <w:szCs w:val="20"/>
        </w:rPr>
        <w:t xml:space="preserve">, creating potential injury and life safety risks to occupants </w:t>
      </w:r>
      <w:r w:rsidR="008F5F9F" w:rsidRPr="00EB5A26">
        <w:rPr>
          <w:szCs w:val="20"/>
        </w:rPr>
        <w:t xml:space="preserve">are not </w:t>
      </w:r>
      <w:r w:rsidRPr="00EB5A26">
        <w:rPr>
          <w:szCs w:val="20"/>
        </w:rPr>
        <w:t xml:space="preserve">captured by this section. </w:t>
      </w:r>
    </w:p>
    <w:p w:rsidR="008F5F9F" w:rsidRDefault="008F5F9F" w:rsidP="00A25DAD">
      <w:pPr>
        <w:spacing w:after="0" w:line="240" w:lineRule="auto"/>
        <w:ind w:left="426"/>
        <w:rPr>
          <w:szCs w:val="20"/>
        </w:rPr>
      </w:pPr>
    </w:p>
    <w:p w:rsidR="008F5F9F" w:rsidRPr="008F5F9F" w:rsidRDefault="008F5F9F" w:rsidP="008F5F9F">
      <w:pPr>
        <w:pStyle w:val="ListParagraph"/>
        <w:numPr>
          <w:ilvl w:val="0"/>
          <w:numId w:val="1"/>
        </w:numPr>
        <w:spacing w:after="0" w:line="240" w:lineRule="auto"/>
        <w:rPr>
          <w:szCs w:val="20"/>
        </w:rPr>
      </w:pPr>
      <w:r w:rsidRPr="008F5F9F">
        <w:rPr>
          <w:szCs w:val="20"/>
        </w:rPr>
        <w:t xml:space="preserve">The definition of an </w:t>
      </w:r>
      <w:r w:rsidR="000F32B3">
        <w:rPr>
          <w:szCs w:val="20"/>
        </w:rPr>
        <w:t>E</w:t>
      </w:r>
      <w:r w:rsidRPr="008F5F9F">
        <w:rPr>
          <w:szCs w:val="20"/>
        </w:rPr>
        <w:t>arthquake</w:t>
      </w:r>
      <w:r w:rsidR="000F32B3">
        <w:rPr>
          <w:szCs w:val="20"/>
        </w:rPr>
        <w:t>-</w:t>
      </w:r>
      <w:r w:rsidRPr="008F5F9F">
        <w:rPr>
          <w:szCs w:val="20"/>
        </w:rPr>
        <w:t xml:space="preserve">prone </w:t>
      </w:r>
      <w:r w:rsidR="000F32B3">
        <w:rPr>
          <w:szCs w:val="20"/>
        </w:rPr>
        <w:t>B</w:t>
      </w:r>
      <w:r w:rsidRPr="008F5F9F">
        <w:rPr>
          <w:szCs w:val="20"/>
        </w:rPr>
        <w:t xml:space="preserve">uilding needs to include internal non-structural </w:t>
      </w:r>
      <w:r w:rsidR="00593868">
        <w:rPr>
          <w:szCs w:val="20"/>
        </w:rPr>
        <w:t xml:space="preserve">compliance </w:t>
      </w:r>
      <w:r w:rsidRPr="008F5F9F">
        <w:rPr>
          <w:szCs w:val="20"/>
        </w:rPr>
        <w:t>as if these systems</w:t>
      </w:r>
      <w:r w:rsidR="000F32B3">
        <w:rPr>
          <w:szCs w:val="20"/>
        </w:rPr>
        <w:t xml:space="preserve"> fail</w:t>
      </w:r>
      <w:r w:rsidR="007A47E9">
        <w:rPr>
          <w:szCs w:val="20"/>
        </w:rPr>
        <w:t>,</w:t>
      </w:r>
      <w:r w:rsidRPr="008F5F9F">
        <w:rPr>
          <w:szCs w:val="20"/>
        </w:rPr>
        <w:t xml:space="preserve"> they are likely to cause death or injury to building occupants in the same way as a building with external parts such as parapets that could break loose and fall injuring people.</w:t>
      </w:r>
    </w:p>
    <w:p w:rsidR="008F5F9F" w:rsidRDefault="008F5F9F" w:rsidP="00A25DAD">
      <w:pPr>
        <w:spacing w:after="0" w:line="240" w:lineRule="auto"/>
        <w:ind w:left="426"/>
        <w:rPr>
          <w:szCs w:val="20"/>
        </w:rPr>
      </w:pPr>
    </w:p>
    <w:p w:rsidR="008F5F9F" w:rsidRDefault="00A03C41" w:rsidP="008F5F9F">
      <w:pPr>
        <w:pStyle w:val="ListParagraph"/>
        <w:numPr>
          <w:ilvl w:val="0"/>
          <w:numId w:val="1"/>
        </w:numPr>
        <w:spacing w:after="0" w:line="240" w:lineRule="auto"/>
        <w:rPr>
          <w:szCs w:val="20"/>
        </w:rPr>
      </w:pPr>
      <w:r w:rsidRPr="008F5F9F">
        <w:rPr>
          <w:szCs w:val="20"/>
        </w:rPr>
        <w:t xml:space="preserve">The territorial authority would be unlikely to assume that modern buildings would require an </w:t>
      </w:r>
      <w:r w:rsidR="008F5F9F" w:rsidRPr="008F5F9F">
        <w:rPr>
          <w:szCs w:val="20"/>
        </w:rPr>
        <w:t xml:space="preserve">   </w:t>
      </w:r>
      <w:r w:rsidRPr="008F5F9F">
        <w:rPr>
          <w:szCs w:val="20"/>
        </w:rPr>
        <w:t xml:space="preserve">earthquake rating by an engineer </w:t>
      </w:r>
      <w:r w:rsidR="008E6764" w:rsidRPr="008F5F9F">
        <w:rPr>
          <w:szCs w:val="20"/>
        </w:rPr>
        <w:t xml:space="preserve">that would include an internal part of a building such as ceilings and services being likely to cause injury </w:t>
      </w:r>
      <w:r w:rsidR="008F5F9F" w:rsidRPr="008F5F9F">
        <w:rPr>
          <w:szCs w:val="20"/>
        </w:rPr>
        <w:t>or</w:t>
      </w:r>
      <w:r w:rsidR="008E6764" w:rsidRPr="008F5F9F">
        <w:rPr>
          <w:szCs w:val="20"/>
        </w:rPr>
        <w:t xml:space="preserve"> death to persons in that building</w:t>
      </w:r>
      <w:r w:rsidR="007A47E9">
        <w:rPr>
          <w:szCs w:val="20"/>
        </w:rPr>
        <w:t>,</w:t>
      </w:r>
      <w:r w:rsidR="00E45064" w:rsidRPr="008F5F9F">
        <w:rPr>
          <w:szCs w:val="20"/>
        </w:rPr>
        <w:t xml:space="preserve"> however this is a real possibility.</w:t>
      </w:r>
    </w:p>
    <w:p w:rsidR="00066632" w:rsidRPr="008F5F9F" w:rsidRDefault="008E6764" w:rsidP="008F5F9F">
      <w:pPr>
        <w:spacing w:after="0" w:line="240" w:lineRule="auto"/>
        <w:ind w:left="142"/>
        <w:rPr>
          <w:szCs w:val="20"/>
        </w:rPr>
      </w:pPr>
      <w:r w:rsidRPr="008F5F9F">
        <w:rPr>
          <w:szCs w:val="20"/>
        </w:rPr>
        <w:t xml:space="preserve">  </w:t>
      </w:r>
    </w:p>
    <w:p w:rsidR="008F5F9F" w:rsidRDefault="008E6764" w:rsidP="000F32B3">
      <w:pPr>
        <w:pStyle w:val="ListParagraph"/>
        <w:numPr>
          <w:ilvl w:val="0"/>
          <w:numId w:val="1"/>
        </w:numPr>
        <w:spacing w:after="0" w:line="240" w:lineRule="auto"/>
        <w:rPr>
          <w:szCs w:val="20"/>
        </w:rPr>
      </w:pPr>
      <w:r w:rsidRPr="008F5F9F">
        <w:rPr>
          <w:szCs w:val="20"/>
        </w:rPr>
        <w:t xml:space="preserve">Many of these newer buildings are likely to have ceiling and internal service systems that are not compliant with NZS 4219.  </w:t>
      </w:r>
      <w:r w:rsidR="008F5F9F">
        <w:rPr>
          <w:szCs w:val="20"/>
        </w:rPr>
        <w:t>This may mean</w:t>
      </w:r>
      <w:r w:rsidRPr="008F5F9F">
        <w:rPr>
          <w:szCs w:val="20"/>
        </w:rPr>
        <w:t xml:space="preserve"> that each building would have to have a detailed inspection by the territorial authority</w:t>
      </w:r>
      <w:r w:rsidR="00FD6C30">
        <w:rPr>
          <w:szCs w:val="20"/>
        </w:rPr>
        <w:t>. C</w:t>
      </w:r>
      <w:r w:rsidR="00593868">
        <w:rPr>
          <w:szCs w:val="20"/>
        </w:rPr>
        <w:t>onsideration could be given to including inspections into the building Warrant of Fitness</w:t>
      </w:r>
      <w:r w:rsidR="00593868" w:rsidRPr="008F5F9F">
        <w:rPr>
          <w:szCs w:val="20"/>
        </w:rPr>
        <w:t xml:space="preserve"> </w:t>
      </w:r>
      <w:r w:rsidR="00593868">
        <w:rPr>
          <w:szCs w:val="20"/>
        </w:rPr>
        <w:t>regime.</w:t>
      </w:r>
      <w:r w:rsidRPr="008F5F9F">
        <w:rPr>
          <w:szCs w:val="20"/>
        </w:rPr>
        <w:t xml:space="preserve"> We understand this is a potentially difficult issue for territorial authorities</w:t>
      </w:r>
      <w:r w:rsidR="00E45064" w:rsidRPr="008F5F9F">
        <w:rPr>
          <w:szCs w:val="20"/>
        </w:rPr>
        <w:t xml:space="preserve"> but we feel does need to be considered</w:t>
      </w:r>
      <w:r w:rsidRPr="008F5F9F">
        <w:rPr>
          <w:szCs w:val="20"/>
        </w:rPr>
        <w:t>.</w:t>
      </w:r>
    </w:p>
    <w:p w:rsidR="008F5F9F" w:rsidRPr="008F5F9F" w:rsidRDefault="008F5F9F" w:rsidP="000F32B3">
      <w:pPr>
        <w:pStyle w:val="ListParagraph"/>
        <w:spacing w:after="0" w:line="240" w:lineRule="auto"/>
        <w:rPr>
          <w:szCs w:val="20"/>
        </w:rPr>
      </w:pPr>
    </w:p>
    <w:p w:rsidR="008E6764" w:rsidRPr="008F5F9F" w:rsidRDefault="00593868" w:rsidP="000F32B3">
      <w:pPr>
        <w:pStyle w:val="ListParagraph"/>
        <w:numPr>
          <w:ilvl w:val="0"/>
          <w:numId w:val="1"/>
        </w:numPr>
        <w:spacing w:after="0" w:line="240" w:lineRule="auto"/>
        <w:rPr>
          <w:szCs w:val="20"/>
        </w:rPr>
      </w:pPr>
      <w:r>
        <w:rPr>
          <w:szCs w:val="20"/>
        </w:rPr>
        <w:t>There is no excuse for new buildings (built since 2012) to be noncompliant but we understand that many do not meet NZS</w:t>
      </w:r>
      <w:r w:rsidR="00FD6C30">
        <w:rPr>
          <w:szCs w:val="20"/>
        </w:rPr>
        <w:t xml:space="preserve"> </w:t>
      </w:r>
      <w:r>
        <w:rPr>
          <w:szCs w:val="20"/>
        </w:rPr>
        <w:t xml:space="preserve">4219 and this is a concern.  </w:t>
      </w:r>
      <w:r w:rsidR="008E6764" w:rsidRPr="008F5F9F">
        <w:rPr>
          <w:szCs w:val="20"/>
        </w:rPr>
        <w:t xml:space="preserve"> </w:t>
      </w:r>
    </w:p>
    <w:p w:rsidR="008E6764" w:rsidRDefault="008E6764" w:rsidP="000F32B3">
      <w:pPr>
        <w:spacing w:after="0" w:line="240" w:lineRule="auto"/>
        <w:rPr>
          <w:szCs w:val="20"/>
        </w:rPr>
      </w:pPr>
    </w:p>
    <w:p w:rsidR="007F4C3D" w:rsidRDefault="008E6764" w:rsidP="000F32B3">
      <w:pPr>
        <w:pStyle w:val="ListParagraph"/>
        <w:numPr>
          <w:ilvl w:val="0"/>
          <w:numId w:val="1"/>
        </w:numPr>
        <w:spacing w:after="0" w:line="240" w:lineRule="auto"/>
        <w:rPr>
          <w:szCs w:val="20"/>
        </w:rPr>
      </w:pPr>
      <w:r w:rsidRPr="007F4C3D">
        <w:rPr>
          <w:szCs w:val="20"/>
        </w:rPr>
        <w:t xml:space="preserve">The </w:t>
      </w:r>
      <w:r w:rsidR="00A950AA" w:rsidRPr="007F4C3D">
        <w:rPr>
          <w:szCs w:val="20"/>
        </w:rPr>
        <w:t xml:space="preserve">territorial authority would be expected to identify buildings which may have parts of that building which are potentially earthquake-prone and often that is easy to do by looking at the age and type of the building, however internal components such as ceilings and services are more difficult.  We understand that the assessment of seismic resilience of </w:t>
      </w:r>
      <w:r w:rsidR="007F4C3D" w:rsidRPr="007F4C3D">
        <w:rPr>
          <w:szCs w:val="20"/>
        </w:rPr>
        <w:t>non-</w:t>
      </w:r>
      <w:r w:rsidR="00A950AA" w:rsidRPr="007F4C3D">
        <w:rPr>
          <w:szCs w:val="20"/>
        </w:rPr>
        <w:t xml:space="preserve">structural </w:t>
      </w:r>
      <w:r w:rsidR="007F4C3D" w:rsidRPr="007F4C3D">
        <w:rPr>
          <w:szCs w:val="20"/>
        </w:rPr>
        <w:t>building systems in commercial buildings in relation to existing building standards is a</w:t>
      </w:r>
      <w:r w:rsidR="00066632">
        <w:rPr>
          <w:szCs w:val="20"/>
        </w:rPr>
        <w:t>n</w:t>
      </w:r>
      <w:r w:rsidR="007F4C3D" w:rsidRPr="007F4C3D">
        <w:rPr>
          <w:szCs w:val="20"/>
        </w:rPr>
        <w:t xml:space="preserve"> area that is currently not well understood</w:t>
      </w:r>
      <w:r w:rsidR="00FD6C30">
        <w:rPr>
          <w:szCs w:val="20"/>
        </w:rPr>
        <w:t xml:space="preserve"> but it cannot be ignored.</w:t>
      </w:r>
    </w:p>
    <w:p w:rsidR="008357E7" w:rsidRPr="008357E7" w:rsidRDefault="008357E7" w:rsidP="000F32B3">
      <w:pPr>
        <w:spacing w:after="0" w:line="240" w:lineRule="auto"/>
        <w:rPr>
          <w:szCs w:val="20"/>
        </w:rPr>
      </w:pPr>
    </w:p>
    <w:p w:rsidR="00253774" w:rsidRPr="00EB5A26" w:rsidRDefault="008357E7" w:rsidP="000F32B3">
      <w:pPr>
        <w:spacing w:after="0" w:line="240" w:lineRule="auto"/>
        <w:ind w:left="142"/>
        <w:rPr>
          <w:b/>
          <w:szCs w:val="20"/>
        </w:rPr>
      </w:pPr>
      <w:r w:rsidRPr="00EB5A26">
        <w:rPr>
          <w:b/>
          <w:szCs w:val="20"/>
        </w:rPr>
        <w:t xml:space="preserve">Seismic Upgrade Requirements – </w:t>
      </w:r>
      <w:r w:rsidR="00BB12ED" w:rsidRPr="00EB5A26">
        <w:rPr>
          <w:b/>
          <w:szCs w:val="20"/>
        </w:rPr>
        <w:t>N</w:t>
      </w:r>
      <w:r w:rsidRPr="00EB5A26">
        <w:rPr>
          <w:b/>
          <w:szCs w:val="20"/>
        </w:rPr>
        <w:t>ew section 133ax</w:t>
      </w:r>
    </w:p>
    <w:p w:rsidR="00253774" w:rsidRPr="00253774" w:rsidRDefault="00253774" w:rsidP="000F32B3">
      <w:pPr>
        <w:spacing w:after="0" w:line="240" w:lineRule="auto"/>
        <w:rPr>
          <w:b/>
          <w:szCs w:val="20"/>
        </w:rPr>
      </w:pPr>
    </w:p>
    <w:p w:rsidR="008357E7" w:rsidRPr="00EB5A26" w:rsidRDefault="008357E7" w:rsidP="000F32B3">
      <w:pPr>
        <w:pStyle w:val="ListParagraph"/>
        <w:numPr>
          <w:ilvl w:val="0"/>
          <w:numId w:val="1"/>
        </w:numPr>
        <w:spacing w:after="0" w:line="240" w:lineRule="auto"/>
        <w:rPr>
          <w:szCs w:val="20"/>
        </w:rPr>
      </w:pPr>
      <w:r w:rsidRPr="00EB5A26">
        <w:rPr>
          <w:szCs w:val="20"/>
        </w:rPr>
        <w:t>In the Insurance Council’s original submission (17 April 2014) we outlined the issue of earthquake seismic upgrading that could be affected by the associated costs with any required upgrades to access facilities for people with disabilities and the means of escape from fire.  The Insurance Council has no problem with the new recommended section 133ax.</w:t>
      </w:r>
    </w:p>
    <w:p w:rsidR="00253774" w:rsidRDefault="00253774" w:rsidP="000F32B3">
      <w:pPr>
        <w:spacing w:after="0" w:line="240" w:lineRule="auto"/>
        <w:ind w:left="502"/>
        <w:rPr>
          <w:szCs w:val="20"/>
        </w:rPr>
      </w:pPr>
    </w:p>
    <w:p w:rsidR="00253774" w:rsidRPr="00EB5A26" w:rsidRDefault="00253774" w:rsidP="00EB5A26">
      <w:pPr>
        <w:spacing w:after="0" w:line="240" w:lineRule="auto"/>
        <w:ind w:left="142"/>
        <w:rPr>
          <w:b/>
          <w:szCs w:val="20"/>
        </w:rPr>
      </w:pPr>
      <w:r w:rsidRPr="00EB5A26">
        <w:rPr>
          <w:b/>
          <w:szCs w:val="20"/>
        </w:rPr>
        <w:t xml:space="preserve">Summary of Officials Report to the Local Government and Environment Committee on Building (Earthquake-prone Buildings) Amendment Bill </w:t>
      </w:r>
    </w:p>
    <w:p w:rsidR="00253774" w:rsidRDefault="00253774" w:rsidP="00253774">
      <w:pPr>
        <w:spacing w:after="0" w:line="240" w:lineRule="auto"/>
        <w:rPr>
          <w:b/>
          <w:szCs w:val="20"/>
        </w:rPr>
      </w:pPr>
      <w:r>
        <w:rPr>
          <w:b/>
          <w:szCs w:val="20"/>
        </w:rPr>
        <w:t xml:space="preserve"> </w:t>
      </w:r>
    </w:p>
    <w:p w:rsidR="00253774" w:rsidRDefault="00253774" w:rsidP="00253774">
      <w:pPr>
        <w:spacing w:after="0" w:line="240" w:lineRule="auto"/>
        <w:ind w:left="426"/>
        <w:rPr>
          <w:b/>
          <w:szCs w:val="20"/>
        </w:rPr>
      </w:pPr>
      <w:r>
        <w:rPr>
          <w:b/>
          <w:szCs w:val="20"/>
        </w:rPr>
        <w:t>Recommendations</w:t>
      </w:r>
    </w:p>
    <w:p w:rsidR="00253774" w:rsidRDefault="00253774" w:rsidP="00253774">
      <w:pPr>
        <w:pStyle w:val="ListParagraph"/>
        <w:numPr>
          <w:ilvl w:val="0"/>
          <w:numId w:val="3"/>
        </w:numPr>
        <w:spacing w:after="0" w:line="240" w:lineRule="auto"/>
        <w:rPr>
          <w:szCs w:val="20"/>
        </w:rPr>
      </w:pPr>
      <w:r w:rsidRPr="00253774">
        <w:rPr>
          <w:szCs w:val="20"/>
        </w:rPr>
        <w:t xml:space="preserve">No change to the </w:t>
      </w:r>
      <w:r>
        <w:rPr>
          <w:szCs w:val="20"/>
        </w:rPr>
        <w:t>commencement provision of the Bill</w:t>
      </w:r>
      <w:r w:rsidR="00C52226">
        <w:rPr>
          <w:szCs w:val="20"/>
        </w:rPr>
        <w:t>- Recommendation 1</w:t>
      </w:r>
      <w:r>
        <w:rPr>
          <w:szCs w:val="20"/>
        </w:rPr>
        <w:t>.                                                        The Insurance Council accept this.</w:t>
      </w:r>
    </w:p>
    <w:p w:rsidR="007A47E9" w:rsidRPr="007A47E9" w:rsidRDefault="007A47E9" w:rsidP="007A47E9">
      <w:pPr>
        <w:spacing w:after="0" w:line="240" w:lineRule="auto"/>
        <w:rPr>
          <w:szCs w:val="20"/>
        </w:rPr>
      </w:pPr>
    </w:p>
    <w:p w:rsidR="00253774" w:rsidRDefault="00253774" w:rsidP="00253774">
      <w:pPr>
        <w:pStyle w:val="ListParagraph"/>
        <w:numPr>
          <w:ilvl w:val="0"/>
          <w:numId w:val="3"/>
        </w:numPr>
        <w:spacing w:after="0" w:line="240" w:lineRule="auto"/>
        <w:rPr>
          <w:szCs w:val="20"/>
        </w:rPr>
      </w:pPr>
      <w:r>
        <w:rPr>
          <w:szCs w:val="20"/>
        </w:rPr>
        <w:t xml:space="preserve">Definition of Earthquake-prone Building </w:t>
      </w:r>
      <w:r w:rsidR="00C52226">
        <w:rPr>
          <w:szCs w:val="20"/>
        </w:rPr>
        <w:t>– Recommendation 2.1</w:t>
      </w:r>
      <w:r w:rsidR="00EB5A26">
        <w:rPr>
          <w:szCs w:val="20"/>
        </w:rPr>
        <w:t>.</w:t>
      </w:r>
      <w:r w:rsidR="00C52226">
        <w:rPr>
          <w:szCs w:val="20"/>
        </w:rPr>
        <w:t xml:space="preserve">                                              The definition of </w:t>
      </w:r>
      <w:r w:rsidR="00EB5A26">
        <w:rPr>
          <w:szCs w:val="20"/>
        </w:rPr>
        <w:t xml:space="preserve">an </w:t>
      </w:r>
      <w:r w:rsidR="00C52226">
        <w:rPr>
          <w:szCs w:val="20"/>
        </w:rPr>
        <w:t>Earthquake</w:t>
      </w:r>
      <w:r w:rsidR="00EB5A26">
        <w:rPr>
          <w:szCs w:val="20"/>
        </w:rPr>
        <w:t>-p</w:t>
      </w:r>
      <w:r w:rsidR="00C52226">
        <w:rPr>
          <w:szCs w:val="20"/>
        </w:rPr>
        <w:t>rone Building t</w:t>
      </w:r>
      <w:r>
        <w:rPr>
          <w:szCs w:val="20"/>
        </w:rPr>
        <w:t xml:space="preserve">o be amended to improve its clarity by </w:t>
      </w:r>
      <w:r w:rsidR="00EB5A26">
        <w:rPr>
          <w:szCs w:val="20"/>
        </w:rPr>
        <w:t>including the issues of Seismic Non-Structural into the definition.</w:t>
      </w:r>
      <w:r>
        <w:rPr>
          <w:szCs w:val="20"/>
        </w:rPr>
        <w:t xml:space="preserve"> The Insurance Council believes th</w:t>
      </w:r>
      <w:r w:rsidR="00EB5A26">
        <w:rPr>
          <w:szCs w:val="20"/>
        </w:rPr>
        <w:t xml:space="preserve">e recommendation 2.1 </w:t>
      </w:r>
      <w:r>
        <w:rPr>
          <w:szCs w:val="20"/>
        </w:rPr>
        <w:t xml:space="preserve">does not adequately address the issues we raised in </w:t>
      </w:r>
      <w:r w:rsidR="008F47FC">
        <w:rPr>
          <w:szCs w:val="20"/>
        </w:rPr>
        <w:t>Paragraphs 6, 7</w:t>
      </w:r>
      <w:r w:rsidR="00EB5A26">
        <w:rPr>
          <w:szCs w:val="20"/>
        </w:rPr>
        <w:t>,</w:t>
      </w:r>
      <w:r w:rsidR="001933C1">
        <w:rPr>
          <w:szCs w:val="20"/>
        </w:rPr>
        <w:t xml:space="preserve"> 8</w:t>
      </w:r>
      <w:r w:rsidR="00EB5A26">
        <w:rPr>
          <w:szCs w:val="20"/>
        </w:rPr>
        <w:t xml:space="preserve"> &amp; 9</w:t>
      </w:r>
      <w:r>
        <w:rPr>
          <w:szCs w:val="20"/>
        </w:rPr>
        <w:t>.</w:t>
      </w:r>
    </w:p>
    <w:p w:rsidR="007A47E9" w:rsidRPr="007A47E9" w:rsidRDefault="007A47E9" w:rsidP="007A47E9">
      <w:pPr>
        <w:spacing w:after="0" w:line="240" w:lineRule="auto"/>
        <w:rPr>
          <w:szCs w:val="20"/>
        </w:rPr>
      </w:pPr>
    </w:p>
    <w:p w:rsidR="00253774" w:rsidRDefault="00C52226" w:rsidP="00253774">
      <w:pPr>
        <w:pStyle w:val="ListParagraph"/>
        <w:numPr>
          <w:ilvl w:val="0"/>
          <w:numId w:val="3"/>
        </w:numPr>
        <w:spacing w:after="0" w:line="240" w:lineRule="auto"/>
        <w:rPr>
          <w:szCs w:val="20"/>
        </w:rPr>
      </w:pPr>
      <w:r>
        <w:rPr>
          <w:szCs w:val="20"/>
        </w:rPr>
        <w:t xml:space="preserve">Recommendations 2.2- 2.6                                                                                                                           </w:t>
      </w:r>
      <w:r w:rsidR="00077963">
        <w:rPr>
          <w:szCs w:val="20"/>
        </w:rPr>
        <w:t>The Insurance Council agrees with these recommendations</w:t>
      </w:r>
      <w:r>
        <w:rPr>
          <w:szCs w:val="20"/>
        </w:rPr>
        <w:t>.</w:t>
      </w:r>
    </w:p>
    <w:p w:rsidR="007A47E9" w:rsidRPr="007A47E9" w:rsidRDefault="007A47E9" w:rsidP="007A47E9">
      <w:pPr>
        <w:spacing w:after="0" w:line="240" w:lineRule="auto"/>
        <w:rPr>
          <w:szCs w:val="20"/>
        </w:rPr>
      </w:pPr>
    </w:p>
    <w:p w:rsidR="00077963" w:rsidRDefault="00077963" w:rsidP="00253774">
      <w:pPr>
        <w:pStyle w:val="ListParagraph"/>
        <w:numPr>
          <w:ilvl w:val="0"/>
          <w:numId w:val="3"/>
        </w:numPr>
        <w:spacing w:after="0" w:line="240" w:lineRule="auto"/>
        <w:rPr>
          <w:szCs w:val="20"/>
        </w:rPr>
      </w:pPr>
      <w:r>
        <w:rPr>
          <w:szCs w:val="20"/>
        </w:rPr>
        <w:t>Application of the definition of Earthquake-prone Building in areas of low seismic risk</w:t>
      </w:r>
      <w:r w:rsidR="00C52226">
        <w:rPr>
          <w:szCs w:val="20"/>
        </w:rPr>
        <w:t>- Recommendation 3</w:t>
      </w:r>
      <w:r>
        <w:rPr>
          <w:szCs w:val="20"/>
        </w:rPr>
        <w:t xml:space="preserve">                         </w:t>
      </w:r>
      <w:r w:rsidR="00C52226">
        <w:rPr>
          <w:szCs w:val="20"/>
        </w:rPr>
        <w:t xml:space="preserve">                                                                                                                    </w:t>
      </w:r>
      <w:r>
        <w:rPr>
          <w:szCs w:val="20"/>
        </w:rPr>
        <w:t xml:space="preserve">No change to </w:t>
      </w:r>
      <w:r w:rsidR="00C52226">
        <w:rPr>
          <w:szCs w:val="20"/>
        </w:rPr>
        <w:t xml:space="preserve">be </w:t>
      </w:r>
      <w:r>
        <w:rPr>
          <w:szCs w:val="20"/>
        </w:rPr>
        <w:t>made to the definition – the Insurance Council agrees with this</w:t>
      </w:r>
      <w:r w:rsidR="00C52226">
        <w:rPr>
          <w:szCs w:val="20"/>
        </w:rPr>
        <w:t>.</w:t>
      </w:r>
    </w:p>
    <w:p w:rsidR="007A47E9" w:rsidRPr="007A47E9" w:rsidRDefault="007A47E9" w:rsidP="007A47E9">
      <w:pPr>
        <w:spacing w:after="0" w:line="240" w:lineRule="auto"/>
        <w:rPr>
          <w:szCs w:val="20"/>
        </w:rPr>
      </w:pPr>
    </w:p>
    <w:p w:rsidR="00077963" w:rsidRDefault="00077963" w:rsidP="00253774">
      <w:pPr>
        <w:pStyle w:val="ListParagraph"/>
        <w:numPr>
          <w:ilvl w:val="0"/>
          <w:numId w:val="3"/>
        </w:numPr>
        <w:spacing w:after="0" w:line="240" w:lineRule="auto"/>
        <w:rPr>
          <w:szCs w:val="20"/>
        </w:rPr>
      </w:pPr>
      <w:r>
        <w:rPr>
          <w:szCs w:val="20"/>
        </w:rPr>
        <w:t>Level of remediation required of Earthquake-prone Buildings</w:t>
      </w:r>
      <w:r w:rsidR="00C52226">
        <w:rPr>
          <w:szCs w:val="20"/>
        </w:rPr>
        <w:t xml:space="preserve"> – Recommendation 4</w:t>
      </w:r>
      <w:r>
        <w:rPr>
          <w:szCs w:val="20"/>
        </w:rPr>
        <w:t xml:space="preserve">                                                                          No change to either the definition of seismic work in clause 23, new section 133aa etc.                        The Insurance Council agrees with th</w:t>
      </w:r>
      <w:r w:rsidR="00EB5A26">
        <w:rPr>
          <w:szCs w:val="20"/>
        </w:rPr>
        <w:t>is</w:t>
      </w:r>
      <w:r>
        <w:rPr>
          <w:szCs w:val="20"/>
        </w:rPr>
        <w:t>.</w:t>
      </w:r>
    </w:p>
    <w:p w:rsidR="007A47E9" w:rsidRPr="007A47E9" w:rsidRDefault="007A47E9" w:rsidP="007A47E9">
      <w:pPr>
        <w:spacing w:after="0" w:line="240" w:lineRule="auto"/>
        <w:rPr>
          <w:szCs w:val="20"/>
        </w:rPr>
      </w:pPr>
    </w:p>
    <w:p w:rsidR="00077963" w:rsidRDefault="00077963" w:rsidP="00253774">
      <w:pPr>
        <w:pStyle w:val="ListParagraph"/>
        <w:numPr>
          <w:ilvl w:val="0"/>
          <w:numId w:val="3"/>
        </w:numPr>
        <w:spacing w:after="0" w:line="240" w:lineRule="auto"/>
        <w:rPr>
          <w:szCs w:val="20"/>
        </w:rPr>
      </w:pPr>
      <w:r>
        <w:rPr>
          <w:szCs w:val="20"/>
        </w:rPr>
        <w:t>Seismic Capacity Measurements Outcome Notices and Seismic Capacity Register and Seismic Work Notices - Recommendations 5.1</w:t>
      </w:r>
      <w:r w:rsidR="007F4C33">
        <w:rPr>
          <w:szCs w:val="20"/>
        </w:rPr>
        <w:t xml:space="preserve"> </w:t>
      </w:r>
      <w:r>
        <w:rPr>
          <w:szCs w:val="20"/>
        </w:rPr>
        <w:t>-</w:t>
      </w:r>
      <w:r w:rsidR="007F4C33">
        <w:rPr>
          <w:szCs w:val="20"/>
        </w:rPr>
        <w:t xml:space="preserve"> </w:t>
      </w:r>
      <w:r>
        <w:rPr>
          <w:szCs w:val="20"/>
        </w:rPr>
        <w:t xml:space="preserve">5.24                                                                                                                                       The Insurance Council has no issues with these </w:t>
      </w:r>
      <w:r w:rsidR="00C52226">
        <w:rPr>
          <w:szCs w:val="20"/>
        </w:rPr>
        <w:t>R</w:t>
      </w:r>
      <w:r>
        <w:rPr>
          <w:szCs w:val="20"/>
        </w:rPr>
        <w:t>ecommendations</w:t>
      </w:r>
      <w:r w:rsidR="007F4C33">
        <w:rPr>
          <w:szCs w:val="20"/>
        </w:rPr>
        <w:t>.</w:t>
      </w:r>
    </w:p>
    <w:p w:rsidR="007A47E9" w:rsidRPr="007A47E9" w:rsidRDefault="007A47E9" w:rsidP="007A47E9">
      <w:pPr>
        <w:spacing w:after="0" w:line="240" w:lineRule="auto"/>
        <w:rPr>
          <w:szCs w:val="20"/>
        </w:rPr>
      </w:pPr>
    </w:p>
    <w:p w:rsidR="00077963" w:rsidRDefault="00077963" w:rsidP="00253774">
      <w:pPr>
        <w:pStyle w:val="ListParagraph"/>
        <w:numPr>
          <w:ilvl w:val="0"/>
          <w:numId w:val="3"/>
        </w:numPr>
        <w:spacing w:after="0" w:line="240" w:lineRule="auto"/>
        <w:rPr>
          <w:szCs w:val="20"/>
        </w:rPr>
      </w:pPr>
      <w:r>
        <w:rPr>
          <w:szCs w:val="20"/>
        </w:rPr>
        <w:t>Remediation</w:t>
      </w:r>
      <w:r w:rsidR="007F4C33">
        <w:rPr>
          <w:szCs w:val="20"/>
        </w:rPr>
        <w:t xml:space="preserve"> Time Frames – Recommendation 6.1 – 6.9                                                                                      The Insurance Council agrees with these Recommendations.</w:t>
      </w:r>
    </w:p>
    <w:p w:rsidR="00077963" w:rsidRDefault="007F4C33" w:rsidP="00253774">
      <w:pPr>
        <w:pStyle w:val="ListParagraph"/>
        <w:numPr>
          <w:ilvl w:val="0"/>
          <w:numId w:val="3"/>
        </w:numPr>
        <w:spacing w:after="0" w:line="240" w:lineRule="auto"/>
        <w:rPr>
          <w:szCs w:val="20"/>
        </w:rPr>
      </w:pPr>
      <w:r>
        <w:rPr>
          <w:szCs w:val="20"/>
        </w:rPr>
        <w:t xml:space="preserve">Remediation Time Frames for Heritage Buildings – Recommendation 7.1                                                        The Insurance Council has </w:t>
      </w:r>
      <w:r w:rsidR="001933C1">
        <w:rPr>
          <w:szCs w:val="20"/>
        </w:rPr>
        <w:t>agrees</w:t>
      </w:r>
      <w:r>
        <w:rPr>
          <w:szCs w:val="20"/>
        </w:rPr>
        <w:t xml:space="preserve"> with this Recommendation.</w:t>
      </w:r>
    </w:p>
    <w:p w:rsidR="007A47E9" w:rsidRPr="007A47E9" w:rsidRDefault="007A47E9" w:rsidP="007A47E9">
      <w:pPr>
        <w:spacing w:after="0" w:line="240" w:lineRule="auto"/>
        <w:rPr>
          <w:szCs w:val="20"/>
        </w:rPr>
      </w:pPr>
    </w:p>
    <w:p w:rsidR="007F4C33" w:rsidRDefault="007F4C33" w:rsidP="00253774">
      <w:pPr>
        <w:pStyle w:val="ListParagraph"/>
        <w:numPr>
          <w:ilvl w:val="0"/>
          <w:numId w:val="3"/>
        </w:numPr>
        <w:spacing w:after="0" w:line="240" w:lineRule="auto"/>
        <w:rPr>
          <w:szCs w:val="20"/>
        </w:rPr>
      </w:pPr>
      <w:r>
        <w:rPr>
          <w:szCs w:val="20"/>
        </w:rPr>
        <w:t>Exemptions from Remediation requirements – Recommendation 8.1                                                            The Insurance Council accepts this Recommendation.</w:t>
      </w:r>
    </w:p>
    <w:p w:rsidR="007A47E9" w:rsidRPr="007A47E9" w:rsidRDefault="007A47E9" w:rsidP="007A47E9">
      <w:pPr>
        <w:spacing w:after="0" w:line="240" w:lineRule="auto"/>
        <w:rPr>
          <w:szCs w:val="20"/>
        </w:rPr>
      </w:pPr>
    </w:p>
    <w:p w:rsidR="007F4C33" w:rsidRDefault="007F4C33" w:rsidP="00253774">
      <w:pPr>
        <w:pStyle w:val="ListParagraph"/>
        <w:numPr>
          <w:ilvl w:val="0"/>
          <w:numId w:val="3"/>
        </w:numPr>
        <w:spacing w:after="0" w:line="240" w:lineRule="auto"/>
        <w:rPr>
          <w:szCs w:val="20"/>
        </w:rPr>
      </w:pPr>
      <w:r>
        <w:rPr>
          <w:szCs w:val="20"/>
        </w:rPr>
        <w:lastRenderedPageBreak/>
        <w:t>Upgrade Requirements – Recommendations 9.1-9.3                                                                                         The Insurance Council agrees with these Recommendations</w:t>
      </w:r>
    </w:p>
    <w:p w:rsidR="007A47E9" w:rsidRPr="007A47E9" w:rsidRDefault="007A47E9" w:rsidP="007A47E9">
      <w:pPr>
        <w:spacing w:after="0" w:line="240" w:lineRule="auto"/>
        <w:rPr>
          <w:szCs w:val="20"/>
        </w:rPr>
      </w:pPr>
    </w:p>
    <w:p w:rsidR="007F4C33" w:rsidRDefault="007F4C33" w:rsidP="00253774">
      <w:pPr>
        <w:pStyle w:val="ListParagraph"/>
        <w:numPr>
          <w:ilvl w:val="0"/>
          <w:numId w:val="3"/>
        </w:numPr>
        <w:spacing w:after="0" w:line="240" w:lineRule="auto"/>
        <w:rPr>
          <w:szCs w:val="20"/>
        </w:rPr>
      </w:pPr>
      <w:r>
        <w:rPr>
          <w:szCs w:val="20"/>
        </w:rPr>
        <w:t>Enforcement of Fences – Recommendations 10.1-10.2                                                                                  The Insurance Council has no issues with these Recommendations.</w:t>
      </w:r>
    </w:p>
    <w:p w:rsidR="007A47E9" w:rsidRPr="007A47E9" w:rsidRDefault="007A47E9" w:rsidP="007A47E9">
      <w:pPr>
        <w:spacing w:after="0" w:line="240" w:lineRule="auto"/>
        <w:rPr>
          <w:szCs w:val="20"/>
        </w:rPr>
      </w:pPr>
    </w:p>
    <w:p w:rsidR="007F4C33" w:rsidRDefault="007F4C33" w:rsidP="007F4C33">
      <w:pPr>
        <w:pStyle w:val="ListParagraph"/>
        <w:numPr>
          <w:ilvl w:val="0"/>
          <w:numId w:val="3"/>
        </w:numPr>
        <w:spacing w:after="0" w:line="240" w:lineRule="auto"/>
        <w:rPr>
          <w:szCs w:val="20"/>
        </w:rPr>
      </w:pPr>
      <w:r>
        <w:rPr>
          <w:szCs w:val="20"/>
        </w:rPr>
        <w:t>Transitional Provisions – Recommendation 11.1                                                                                                        The Insurance Council agrees with this.</w:t>
      </w:r>
    </w:p>
    <w:p w:rsidR="007A47E9" w:rsidRPr="007A47E9" w:rsidRDefault="007A47E9" w:rsidP="007A47E9">
      <w:pPr>
        <w:spacing w:after="0" w:line="240" w:lineRule="auto"/>
        <w:rPr>
          <w:szCs w:val="20"/>
        </w:rPr>
      </w:pPr>
    </w:p>
    <w:p w:rsidR="004C0C16" w:rsidRPr="004C0C16" w:rsidRDefault="007F4C33" w:rsidP="00C6728A">
      <w:pPr>
        <w:pStyle w:val="ListParagraph"/>
        <w:numPr>
          <w:ilvl w:val="0"/>
          <w:numId w:val="3"/>
        </w:numPr>
        <w:spacing w:after="0" w:line="240" w:lineRule="auto"/>
        <w:rPr>
          <w:szCs w:val="20"/>
        </w:rPr>
      </w:pPr>
      <w:r w:rsidRPr="004C0C16">
        <w:rPr>
          <w:szCs w:val="20"/>
        </w:rPr>
        <w:t>Other Recommendations</w:t>
      </w:r>
      <w:r w:rsidR="00886EF7">
        <w:rPr>
          <w:szCs w:val="20"/>
        </w:rPr>
        <w:t xml:space="preserve"> </w:t>
      </w:r>
      <w:r w:rsidR="004C0C16" w:rsidRPr="004C0C16">
        <w:rPr>
          <w:szCs w:val="20"/>
        </w:rPr>
        <w:t xml:space="preserve">- </w:t>
      </w:r>
    </w:p>
    <w:p w:rsidR="007F4C33" w:rsidRDefault="004C0C16" w:rsidP="004C0C16">
      <w:pPr>
        <w:spacing w:after="0" w:line="240" w:lineRule="auto"/>
        <w:ind w:left="1134"/>
        <w:rPr>
          <w:szCs w:val="20"/>
        </w:rPr>
      </w:pPr>
      <w:r w:rsidRPr="004C0C16">
        <w:rPr>
          <w:szCs w:val="20"/>
        </w:rPr>
        <w:t>Originating Applications</w:t>
      </w:r>
      <w:r w:rsidR="00886EF7">
        <w:rPr>
          <w:szCs w:val="20"/>
        </w:rPr>
        <w:t>- Recommendation 12</w:t>
      </w:r>
    </w:p>
    <w:p w:rsidR="00886EF7" w:rsidRDefault="00886EF7" w:rsidP="004C0C16">
      <w:pPr>
        <w:spacing w:after="0" w:line="240" w:lineRule="auto"/>
        <w:ind w:left="1134"/>
        <w:rPr>
          <w:szCs w:val="20"/>
        </w:rPr>
      </w:pPr>
      <w:r>
        <w:rPr>
          <w:szCs w:val="20"/>
        </w:rPr>
        <w:t>The Insurance Council has no issue with this</w:t>
      </w:r>
      <w:r w:rsidR="00F31230">
        <w:rPr>
          <w:szCs w:val="20"/>
        </w:rPr>
        <w:t xml:space="preserve"> recommendation</w:t>
      </w:r>
      <w:r>
        <w:rPr>
          <w:szCs w:val="20"/>
        </w:rPr>
        <w:t>.</w:t>
      </w:r>
    </w:p>
    <w:p w:rsidR="007A47E9" w:rsidRDefault="007A47E9" w:rsidP="004C0C16">
      <w:pPr>
        <w:spacing w:after="0" w:line="240" w:lineRule="auto"/>
        <w:ind w:left="1134"/>
        <w:rPr>
          <w:szCs w:val="20"/>
        </w:rPr>
      </w:pPr>
    </w:p>
    <w:p w:rsidR="00886EF7" w:rsidRDefault="00886EF7" w:rsidP="004C0C16">
      <w:pPr>
        <w:spacing w:after="0" w:line="240" w:lineRule="auto"/>
        <w:ind w:left="1134"/>
        <w:rPr>
          <w:szCs w:val="20"/>
        </w:rPr>
      </w:pPr>
      <w:r>
        <w:rPr>
          <w:szCs w:val="20"/>
        </w:rPr>
        <w:t>Restricting Entry to Buildings for Particular Purposes/Persons – Recommendation 13</w:t>
      </w:r>
    </w:p>
    <w:p w:rsidR="00886EF7" w:rsidRDefault="00886EF7" w:rsidP="004C0C16">
      <w:pPr>
        <w:spacing w:after="0" w:line="240" w:lineRule="auto"/>
        <w:ind w:left="1134"/>
        <w:rPr>
          <w:szCs w:val="20"/>
        </w:rPr>
      </w:pPr>
      <w:r>
        <w:rPr>
          <w:szCs w:val="20"/>
        </w:rPr>
        <w:t>The Insurance Council has no issue with this</w:t>
      </w:r>
      <w:r w:rsidR="00F31230">
        <w:rPr>
          <w:szCs w:val="20"/>
        </w:rPr>
        <w:t xml:space="preserve"> recommendation</w:t>
      </w:r>
      <w:r w:rsidR="00C52226">
        <w:rPr>
          <w:szCs w:val="20"/>
        </w:rPr>
        <w:t>.</w:t>
      </w:r>
    </w:p>
    <w:p w:rsidR="007A47E9" w:rsidRDefault="007A47E9" w:rsidP="004C0C16">
      <w:pPr>
        <w:spacing w:after="0" w:line="240" w:lineRule="auto"/>
        <w:ind w:left="1134"/>
        <w:rPr>
          <w:szCs w:val="20"/>
        </w:rPr>
      </w:pPr>
    </w:p>
    <w:p w:rsidR="00886EF7" w:rsidRDefault="00886EF7" w:rsidP="004C0C16">
      <w:pPr>
        <w:spacing w:after="0" w:line="240" w:lineRule="auto"/>
        <w:ind w:left="1134"/>
        <w:rPr>
          <w:szCs w:val="20"/>
        </w:rPr>
      </w:pPr>
      <w:r>
        <w:rPr>
          <w:szCs w:val="20"/>
        </w:rPr>
        <w:t>Cost Recovery Provisions (General) - Recommendation 14</w:t>
      </w:r>
    </w:p>
    <w:p w:rsidR="00886EF7" w:rsidRDefault="00886EF7" w:rsidP="004C0C16">
      <w:pPr>
        <w:spacing w:after="0" w:line="240" w:lineRule="auto"/>
        <w:ind w:left="1134"/>
        <w:rPr>
          <w:szCs w:val="20"/>
        </w:rPr>
      </w:pPr>
      <w:r>
        <w:rPr>
          <w:szCs w:val="20"/>
        </w:rPr>
        <w:t>The Insurance has no issues with this</w:t>
      </w:r>
      <w:r w:rsidR="00F31230">
        <w:rPr>
          <w:szCs w:val="20"/>
        </w:rPr>
        <w:t xml:space="preserve"> recommendation</w:t>
      </w:r>
      <w:r>
        <w:rPr>
          <w:szCs w:val="20"/>
        </w:rPr>
        <w:t>.</w:t>
      </w:r>
    </w:p>
    <w:p w:rsidR="007A47E9" w:rsidRDefault="007A47E9" w:rsidP="004C0C16">
      <w:pPr>
        <w:spacing w:after="0" w:line="240" w:lineRule="auto"/>
        <w:ind w:left="1134"/>
        <w:rPr>
          <w:szCs w:val="20"/>
        </w:rPr>
      </w:pPr>
    </w:p>
    <w:p w:rsidR="00886EF7" w:rsidRDefault="00886EF7" w:rsidP="004C0C16">
      <w:pPr>
        <w:spacing w:after="0" w:line="240" w:lineRule="auto"/>
        <w:ind w:left="1134"/>
        <w:rPr>
          <w:szCs w:val="20"/>
        </w:rPr>
      </w:pPr>
      <w:r>
        <w:rPr>
          <w:szCs w:val="20"/>
        </w:rPr>
        <w:t>Drafting of Section 112 – Recommendation 15</w:t>
      </w:r>
    </w:p>
    <w:p w:rsidR="00886EF7" w:rsidRDefault="00886EF7" w:rsidP="004C0C16">
      <w:pPr>
        <w:spacing w:after="0" w:line="240" w:lineRule="auto"/>
        <w:ind w:left="1134"/>
        <w:rPr>
          <w:szCs w:val="20"/>
        </w:rPr>
      </w:pPr>
      <w:r>
        <w:rPr>
          <w:szCs w:val="20"/>
        </w:rPr>
        <w:t>The Insurance Council has no issue</w:t>
      </w:r>
      <w:r w:rsidR="00C52226">
        <w:rPr>
          <w:szCs w:val="20"/>
        </w:rPr>
        <w:t xml:space="preserve"> </w:t>
      </w:r>
      <w:r>
        <w:rPr>
          <w:szCs w:val="20"/>
        </w:rPr>
        <w:t>with this</w:t>
      </w:r>
      <w:r w:rsidR="00F31230">
        <w:rPr>
          <w:szCs w:val="20"/>
        </w:rPr>
        <w:t xml:space="preserve"> recommendation</w:t>
      </w:r>
      <w:r>
        <w:rPr>
          <w:szCs w:val="20"/>
        </w:rPr>
        <w:t>.</w:t>
      </w:r>
    </w:p>
    <w:p w:rsidR="00886EF7" w:rsidRDefault="00886EF7" w:rsidP="004C0C16">
      <w:pPr>
        <w:spacing w:after="0" w:line="240" w:lineRule="auto"/>
        <w:ind w:left="1134"/>
        <w:rPr>
          <w:szCs w:val="20"/>
        </w:rPr>
      </w:pPr>
      <w:r>
        <w:rPr>
          <w:szCs w:val="20"/>
        </w:rPr>
        <w:t xml:space="preserve">  </w:t>
      </w:r>
    </w:p>
    <w:p w:rsidR="00886EF7" w:rsidRDefault="00886EF7" w:rsidP="000F32B3">
      <w:pPr>
        <w:spacing w:after="0" w:line="240" w:lineRule="auto"/>
        <w:ind w:left="1134"/>
        <w:rPr>
          <w:szCs w:val="20"/>
        </w:rPr>
      </w:pPr>
    </w:p>
    <w:p w:rsidR="00DA6C3E" w:rsidRPr="0068112F" w:rsidRDefault="00DA6C3E" w:rsidP="000F32B3">
      <w:pPr>
        <w:spacing w:after="0" w:line="240" w:lineRule="auto"/>
        <w:rPr>
          <w:szCs w:val="20"/>
        </w:rPr>
      </w:pPr>
      <w:r w:rsidRPr="0068112F">
        <w:rPr>
          <w:rFonts w:cs="Arial"/>
          <w:szCs w:val="24"/>
        </w:rPr>
        <w:t xml:space="preserve">We trust that the </w:t>
      </w:r>
      <w:r w:rsidR="008F47FC">
        <w:rPr>
          <w:rFonts w:cs="Arial"/>
          <w:szCs w:val="24"/>
        </w:rPr>
        <w:t>Local Government and Environment</w:t>
      </w:r>
      <w:r w:rsidRPr="0068112F">
        <w:rPr>
          <w:rFonts w:cs="Arial"/>
          <w:szCs w:val="24"/>
        </w:rPr>
        <w:t xml:space="preserve"> </w:t>
      </w:r>
      <w:r w:rsidR="008F47FC" w:rsidRPr="0068112F">
        <w:rPr>
          <w:rFonts w:cs="Arial"/>
          <w:szCs w:val="24"/>
        </w:rPr>
        <w:t>Committee will</w:t>
      </w:r>
      <w:r w:rsidRPr="0068112F">
        <w:rPr>
          <w:rFonts w:cs="Arial"/>
          <w:szCs w:val="24"/>
        </w:rPr>
        <w:t xml:space="preserve"> find our </w:t>
      </w:r>
      <w:r w:rsidR="008F47FC" w:rsidRPr="008F47FC">
        <w:t>Supplementary Submission on the Buildings (Earthquake-prone Buildings) Amendment Bill</w:t>
      </w:r>
      <w:r w:rsidR="008F47FC">
        <w:t xml:space="preserve"> </w:t>
      </w:r>
      <w:r w:rsidRPr="0068112F">
        <w:rPr>
          <w:szCs w:val="20"/>
        </w:rPr>
        <w:t>clear and informative.</w:t>
      </w:r>
    </w:p>
    <w:p w:rsidR="00DA6C3E" w:rsidRPr="0068112F" w:rsidRDefault="00DA6C3E" w:rsidP="000F32B3">
      <w:pPr>
        <w:spacing w:after="0" w:line="240" w:lineRule="auto"/>
        <w:rPr>
          <w:rFonts w:cs="Arial"/>
          <w:szCs w:val="20"/>
        </w:rPr>
      </w:pPr>
      <w:r w:rsidRPr="0068112F">
        <w:rPr>
          <w:szCs w:val="20"/>
        </w:rPr>
        <w:t xml:space="preserve"> </w:t>
      </w:r>
    </w:p>
    <w:p w:rsidR="00DA6C3E" w:rsidRDefault="00DA6C3E" w:rsidP="000F32B3">
      <w:pPr>
        <w:spacing w:after="0" w:line="240" w:lineRule="auto"/>
        <w:rPr>
          <w:rFonts w:cs="Arial"/>
          <w:szCs w:val="24"/>
        </w:rPr>
      </w:pPr>
      <w:r w:rsidRPr="0068112F">
        <w:rPr>
          <w:rFonts w:cs="Arial"/>
          <w:szCs w:val="24"/>
        </w:rPr>
        <w:t xml:space="preserve">We are happy to appear before </w:t>
      </w:r>
      <w:r w:rsidR="00593868" w:rsidRPr="0068112F">
        <w:rPr>
          <w:rFonts w:cs="Arial"/>
          <w:szCs w:val="24"/>
        </w:rPr>
        <w:t xml:space="preserve">the </w:t>
      </w:r>
      <w:r w:rsidR="00593868">
        <w:rPr>
          <w:rFonts w:cs="Arial"/>
          <w:szCs w:val="24"/>
        </w:rPr>
        <w:t>Committee</w:t>
      </w:r>
      <w:r w:rsidRPr="0068112F">
        <w:rPr>
          <w:rFonts w:cs="Arial"/>
          <w:szCs w:val="24"/>
        </w:rPr>
        <w:t xml:space="preserve"> to discuss our submission or answer any specific questions the select committee may have should the opportunity arise. </w:t>
      </w:r>
    </w:p>
    <w:p w:rsidR="00DA6C3E" w:rsidRPr="0068112F" w:rsidRDefault="00DA6C3E" w:rsidP="00DA6C3E">
      <w:pPr>
        <w:spacing w:after="0" w:line="240" w:lineRule="auto"/>
        <w:ind w:left="360"/>
        <w:rPr>
          <w:rFonts w:cs="Arial"/>
          <w:szCs w:val="24"/>
        </w:rPr>
      </w:pPr>
    </w:p>
    <w:p w:rsidR="00DA6C3E" w:rsidRDefault="00DA6C3E" w:rsidP="00DA6C3E">
      <w:pPr>
        <w:spacing w:after="0" w:line="240" w:lineRule="auto"/>
        <w:rPr>
          <w:rStyle w:val="Hyperlink"/>
          <w:rFonts w:cs="Arial"/>
          <w:szCs w:val="24"/>
        </w:rPr>
      </w:pPr>
      <w:r w:rsidRPr="0068112F">
        <w:rPr>
          <w:rFonts w:cs="Arial"/>
          <w:szCs w:val="24"/>
        </w:rPr>
        <w:t xml:space="preserve">Should the Committee Secretariat have any questions then please contact either Chief Executive Tim Grafton </w:t>
      </w:r>
      <w:hyperlink r:id="rId7" w:history="1">
        <w:r w:rsidRPr="0068112F">
          <w:rPr>
            <w:rStyle w:val="Hyperlink"/>
            <w:rFonts w:cs="Arial"/>
            <w:szCs w:val="24"/>
          </w:rPr>
          <w:t>tim@icnz.org.nz</w:t>
        </w:r>
      </w:hyperlink>
      <w:r w:rsidRPr="0068112F">
        <w:rPr>
          <w:rFonts w:cs="Arial"/>
          <w:szCs w:val="24"/>
        </w:rPr>
        <w:t xml:space="preserve">  04-495-8001) or Insurance Manager John Lucas </w:t>
      </w:r>
      <w:hyperlink r:id="rId8" w:history="1">
        <w:r w:rsidRPr="0068112F">
          <w:rPr>
            <w:rStyle w:val="Hyperlink"/>
            <w:rFonts w:cs="Arial"/>
            <w:szCs w:val="24"/>
          </w:rPr>
          <w:t>john@icnz.org.nz</w:t>
        </w:r>
      </w:hyperlink>
    </w:p>
    <w:p w:rsidR="00DA6C3E" w:rsidRDefault="00DA6C3E" w:rsidP="00DA6C3E">
      <w:pPr>
        <w:spacing w:after="0" w:line="240" w:lineRule="auto"/>
        <w:rPr>
          <w:rFonts w:cs="Arial"/>
          <w:szCs w:val="24"/>
        </w:rPr>
      </w:pPr>
      <w:r w:rsidRPr="0068112F">
        <w:rPr>
          <w:rFonts w:cs="Arial"/>
          <w:szCs w:val="24"/>
        </w:rPr>
        <w:t>(04 495 8006).</w:t>
      </w:r>
    </w:p>
    <w:p w:rsidR="00DA6C3E" w:rsidRDefault="00DA6C3E" w:rsidP="00DA6C3E">
      <w:pPr>
        <w:spacing w:after="0" w:line="240" w:lineRule="auto"/>
        <w:rPr>
          <w:rFonts w:cs="Arial"/>
          <w:szCs w:val="24"/>
        </w:rPr>
      </w:pPr>
    </w:p>
    <w:p w:rsidR="00DA6C3E" w:rsidRPr="008B3D7A" w:rsidRDefault="00DA6C3E" w:rsidP="00DA6C3E">
      <w:pPr>
        <w:spacing w:after="0" w:line="276" w:lineRule="auto"/>
      </w:pPr>
      <w:r w:rsidRPr="008B3D7A">
        <w:t>Yours sincerely,</w:t>
      </w:r>
    </w:p>
    <w:p w:rsidR="00DA6C3E" w:rsidRDefault="00DA6C3E" w:rsidP="00DA6C3E">
      <w:pPr>
        <w:spacing w:after="0" w:line="276" w:lineRule="auto"/>
      </w:pPr>
    </w:p>
    <w:p w:rsidR="00DA6C3E" w:rsidRDefault="00DA6C3E" w:rsidP="00DA6C3E">
      <w:pPr>
        <w:spacing w:after="0" w:line="276" w:lineRule="auto"/>
      </w:pPr>
    </w:p>
    <w:p w:rsidR="007A47E9" w:rsidRDefault="004F04F7" w:rsidP="00DA6C3E">
      <w:pPr>
        <w:spacing w:after="0" w:line="276" w:lineRule="auto"/>
      </w:pPr>
      <w:r>
        <w:rPr>
          <w:noProof/>
          <w:lang w:eastAsia="en-NZ"/>
        </w:rPr>
        <w:drawing>
          <wp:anchor distT="0" distB="0" distL="114300" distR="114300" simplePos="0" relativeHeight="251658240" behindDoc="0" locked="0" layoutInCell="1" allowOverlap="1">
            <wp:simplePos x="914400" y="7160821"/>
            <wp:positionH relativeFrom="column">
              <wp:align>left</wp:align>
            </wp:positionH>
            <wp:positionV relativeFrom="paragraph">
              <wp:align>top</wp:align>
            </wp:positionV>
            <wp:extent cx="1895475" cy="106680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066800"/>
                    </a:xfrm>
                    <a:prstGeom prst="rect">
                      <a:avLst/>
                    </a:prstGeom>
                    <a:noFill/>
                    <a:ln>
                      <a:noFill/>
                    </a:ln>
                  </pic:spPr>
                </pic:pic>
              </a:graphicData>
            </a:graphic>
          </wp:anchor>
        </w:drawing>
      </w:r>
      <w:r>
        <w:tab/>
      </w:r>
      <w:r>
        <w:tab/>
      </w:r>
      <w:r>
        <w:tab/>
      </w:r>
      <w:r w:rsidRPr="007374B8">
        <w:rPr>
          <w:noProof/>
          <w:lang w:eastAsia="en-NZ"/>
        </w:rPr>
        <w:drawing>
          <wp:inline distT="0" distB="0" distL="0" distR="0">
            <wp:extent cx="1282700" cy="14846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484630"/>
                    </a:xfrm>
                    <a:prstGeom prst="rect">
                      <a:avLst/>
                    </a:prstGeom>
                    <a:noFill/>
                    <a:ln>
                      <a:noFill/>
                    </a:ln>
                  </pic:spPr>
                </pic:pic>
              </a:graphicData>
            </a:graphic>
          </wp:inline>
        </w:drawing>
      </w:r>
      <w:bookmarkStart w:id="0" w:name="_GoBack"/>
      <w:bookmarkEnd w:id="0"/>
      <w:r>
        <w:br w:type="textWrapping" w:clear="all"/>
      </w:r>
    </w:p>
    <w:p w:rsidR="007A47E9" w:rsidRDefault="007A47E9" w:rsidP="00DA6C3E">
      <w:pPr>
        <w:spacing w:after="0" w:line="276" w:lineRule="auto"/>
      </w:pPr>
    </w:p>
    <w:p w:rsidR="00DA6C3E" w:rsidRPr="008B3D7A" w:rsidRDefault="00DA6C3E" w:rsidP="00DA6C3E">
      <w:pPr>
        <w:spacing w:after="0" w:line="276" w:lineRule="auto"/>
      </w:pPr>
    </w:p>
    <w:p w:rsidR="00DA6C3E" w:rsidRPr="005E050D" w:rsidRDefault="00DA6C3E" w:rsidP="00DA6C3E">
      <w:pPr>
        <w:spacing w:after="0" w:line="276" w:lineRule="auto"/>
        <w:rPr>
          <w:b/>
        </w:rPr>
      </w:pPr>
      <w:r w:rsidRPr="005E050D">
        <w:rPr>
          <w:b/>
        </w:rPr>
        <w:t>Tim Grafton</w:t>
      </w:r>
      <w:r w:rsidRPr="005E050D">
        <w:rPr>
          <w:b/>
        </w:rPr>
        <w:tab/>
      </w:r>
      <w:r w:rsidRPr="005E050D">
        <w:rPr>
          <w:b/>
        </w:rPr>
        <w:tab/>
      </w:r>
      <w:r w:rsidRPr="005E050D">
        <w:rPr>
          <w:b/>
        </w:rPr>
        <w:tab/>
      </w:r>
      <w:r w:rsidRPr="005E050D">
        <w:rPr>
          <w:b/>
        </w:rPr>
        <w:tab/>
      </w:r>
      <w:r w:rsidRPr="005E050D">
        <w:rPr>
          <w:b/>
        </w:rPr>
        <w:tab/>
      </w:r>
      <w:r w:rsidRPr="005E050D">
        <w:rPr>
          <w:b/>
        </w:rPr>
        <w:tab/>
      </w:r>
      <w:r>
        <w:rPr>
          <w:b/>
        </w:rPr>
        <w:t>John Lucas</w:t>
      </w:r>
    </w:p>
    <w:p w:rsidR="00DA6C3E" w:rsidRPr="0068112F" w:rsidRDefault="00DA6C3E" w:rsidP="007A47E9">
      <w:pPr>
        <w:spacing w:after="0" w:line="276" w:lineRule="auto"/>
        <w:rPr>
          <w:szCs w:val="24"/>
        </w:rPr>
      </w:pPr>
      <w:r w:rsidRPr="008B3D7A">
        <w:t>Chief Executive</w:t>
      </w:r>
      <w:r>
        <w:tab/>
      </w:r>
      <w:r>
        <w:tab/>
      </w:r>
      <w:r>
        <w:tab/>
      </w:r>
      <w:r>
        <w:tab/>
      </w:r>
      <w:r>
        <w:tab/>
      </w:r>
      <w:r>
        <w:tab/>
        <w:t>Insurance Manager</w:t>
      </w:r>
    </w:p>
    <w:p w:rsidR="00263EB9" w:rsidRPr="004C0C16" w:rsidRDefault="00263EB9" w:rsidP="004C0C16">
      <w:pPr>
        <w:spacing w:after="0" w:line="240" w:lineRule="auto"/>
        <w:ind w:left="1134"/>
        <w:rPr>
          <w:szCs w:val="20"/>
        </w:rPr>
      </w:pPr>
    </w:p>
    <w:p w:rsidR="00333F77" w:rsidRPr="00253774" w:rsidRDefault="00333F77" w:rsidP="00333F77">
      <w:pPr>
        <w:pStyle w:val="ListParagraph"/>
        <w:rPr>
          <w:szCs w:val="20"/>
        </w:rPr>
      </w:pPr>
    </w:p>
    <w:p w:rsidR="008B7476" w:rsidRDefault="008B7476"/>
    <w:sectPr w:rsidR="008B7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096E"/>
    <w:multiLevelType w:val="hybridMultilevel"/>
    <w:tmpl w:val="CC3A8754"/>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0B83CF6"/>
    <w:multiLevelType w:val="hybridMultilevel"/>
    <w:tmpl w:val="27BA970A"/>
    <w:lvl w:ilvl="0" w:tplc="CDB2B474">
      <w:start w:val="1"/>
      <w:numFmt w:val="decimal"/>
      <w:lvlText w:val="%1."/>
      <w:lvlJc w:val="left"/>
      <w:pPr>
        <w:ind w:left="502"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82F4F7C"/>
    <w:multiLevelType w:val="hybridMultilevel"/>
    <w:tmpl w:val="98741C0A"/>
    <w:lvl w:ilvl="0" w:tplc="14090001">
      <w:start w:val="1"/>
      <w:numFmt w:val="bullet"/>
      <w:lvlText w:val=""/>
      <w:lvlJc w:val="left"/>
      <w:pPr>
        <w:ind w:left="1146" w:hanging="360"/>
      </w:pPr>
      <w:rPr>
        <w:rFonts w:ascii="Symbol" w:hAnsi="Symbol"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3" w15:restartNumberingAfterBreak="0">
    <w:nsid w:val="5EBE598F"/>
    <w:multiLevelType w:val="hybridMultilevel"/>
    <w:tmpl w:val="076C3E80"/>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num w:numId="1">
    <w:abstractNumId w:val="1"/>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15"/>
    <w:rsid w:val="00066632"/>
    <w:rsid w:val="00077963"/>
    <w:rsid w:val="000F32B3"/>
    <w:rsid w:val="001933C1"/>
    <w:rsid w:val="00253774"/>
    <w:rsid w:val="00263EB9"/>
    <w:rsid w:val="00333F77"/>
    <w:rsid w:val="004C0C16"/>
    <w:rsid w:val="004F04F7"/>
    <w:rsid w:val="00593868"/>
    <w:rsid w:val="00716162"/>
    <w:rsid w:val="007A47E9"/>
    <w:rsid w:val="007E4222"/>
    <w:rsid w:val="007F4C33"/>
    <w:rsid w:val="007F4C3D"/>
    <w:rsid w:val="008357E7"/>
    <w:rsid w:val="00886EF7"/>
    <w:rsid w:val="008B7476"/>
    <w:rsid w:val="008C215E"/>
    <w:rsid w:val="008E13CC"/>
    <w:rsid w:val="008E6764"/>
    <w:rsid w:val="008F47FC"/>
    <w:rsid w:val="008F5F9F"/>
    <w:rsid w:val="0091772E"/>
    <w:rsid w:val="00A03C41"/>
    <w:rsid w:val="00A25DAD"/>
    <w:rsid w:val="00A85B15"/>
    <w:rsid w:val="00A950AA"/>
    <w:rsid w:val="00BB12ED"/>
    <w:rsid w:val="00BF5921"/>
    <w:rsid w:val="00C04C9D"/>
    <w:rsid w:val="00C52226"/>
    <w:rsid w:val="00DA6C3E"/>
    <w:rsid w:val="00DD59A5"/>
    <w:rsid w:val="00DF2D2B"/>
    <w:rsid w:val="00E45064"/>
    <w:rsid w:val="00EA17F8"/>
    <w:rsid w:val="00EB5A26"/>
    <w:rsid w:val="00EF0870"/>
    <w:rsid w:val="00F31230"/>
    <w:rsid w:val="00FD6C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3B124-D57B-488F-80FF-FC4DE9D0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B15"/>
    <w:rPr>
      <w:color w:val="0563C1" w:themeColor="hyperlink"/>
      <w:u w:val="single"/>
    </w:rPr>
  </w:style>
  <w:style w:type="paragraph" w:styleId="ListParagraph">
    <w:name w:val="List Paragraph"/>
    <w:basedOn w:val="Normal"/>
    <w:uiPriority w:val="34"/>
    <w:qFormat/>
    <w:rsid w:val="00A85B15"/>
    <w:pPr>
      <w:ind w:left="720"/>
      <w:contextualSpacing/>
    </w:pPr>
  </w:style>
  <w:style w:type="paragraph" w:styleId="BalloonText">
    <w:name w:val="Balloon Text"/>
    <w:basedOn w:val="Normal"/>
    <w:link w:val="BalloonTextChar"/>
    <w:uiPriority w:val="99"/>
    <w:semiHidden/>
    <w:unhideWhenUsed/>
    <w:rsid w:val="00333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4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icnz.org.nz" TargetMode="External"/><Relationship Id="rId3" Type="http://schemas.openxmlformats.org/officeDocument/2006/relationships/settings" Target="settings.xml"/><Relationship Id="rId7" Type="http://schemas.openxmlformats.org/officeDocument/2006/relationships/hyperlink" Target="mailto:tim@icnz.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Lucas</dc:creator>
  <cp:keywords/>
  <dc:description/>
  <cp:lastModifiedBy>Madeleine Mitchell</cp:lastModifiedBy>
  <cp:revision>22</cp:revision>
  <cp:lastPrinted>2015-07-15T03:07:00Z</cp:lastPrinted>
  <dcterms:created xsi:type="dcterms:W3CDTF">2015-07-07T20:12:00Z</dcterms:created>
  <dcterms:modified xsi:type="dcterms:W3CDTF">2015-07-16T04:52:00Z</dcterms:modified>
</cp:coreProperties>
</file>