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584"/>
        <w:tblW w:w="10499" w:type="dxa"/>
        <w:tblLayout w:type="fixed"/>
        <w:tblLook w:val="04A0" w:firstRow="1" w:lastRow="0" w:firstColumn="1" w:lastColumn="0" w:noHBand="0" w:noVBand="1"/>
      </w:tblPr>
      <w:tblGrid>
        <w:gridCol w:w="3262"/>
        <w:gridCol w:w="7237"/>
      </w:tblGrid>
      <w:tr w:rsidR="00965507" w:rsidTr="002551A9">
        <w:trPr>
          <w:trHeight w:val="694"/>
        </w:trPr>
        <w:tc>
          <w:tcPr>
            <w:tcW w:w="10499" w:type="dxa"/>
            <w:gridSpan w:val="2"/>
            <w:shd w:val="clear" w:color="auto" w:fill="595959" w:themeFill="text1" w:themeFillTint="A6"/>
            <w:vAlign w:val="center"/>
          </w:tcPr>
          <w:p w:rsidR="00965507" w:rsidRDefault="00965507" w:rsidP="002551A9">
            <w:pPr>
              <w:rPr>
                <w:rFonts w:eastAsiaTheme="minorHAnsi" w:cstheme="minorHAnsi"/>
                <w:b/>
                <w:sz w:val="32"/>
                <w:szCs w:val="32"/>
              </w:rPr>
            </w:pPr>
            <w:bookmarkStart w:id="0" w:name="_Toc475085422"/>
            <w:bookmarkStart w:id="1" w:name="_Toc474742733"/>
            <w:bookmarkStart w:id="2" w:name="_Toc483235712"/>
            <w:bookmarkStart w:id="3" w:name="_Toc485308024"/>
            <w:r>
              <w:rPr>
                <w:rStyle w:val="Heading2Char"/>
                <w:rFonts w:eastAsiaTheme="minorHAnsi"/>
                <w:color w:val="FFFFFF" w:themeColor="background1"/>
              </w:rPr>
              <w:t>Feedback form</w:t>
            </w:r>
            <w:bookmarkEnd w:id="0"/>
            <w:bookmarkEnd w:id="1"/>
            <w:bookmarkEnd w:id="2"/>
            <w:bookmarkEnd w:id="3"/>
            <w:r>
              <w:rPr>
                <w:rFonts w:eastAsiaTheme="minorHAnsi" w:cstheme="minorHAnsi"/>
                <w:b/>
                <w:color w:val="FFFFFF" w:themeColor="background1"/>
                <w:sz w:val="32"/>
                <w:szCs w:val="32"/>
              </w:rPr>
              <w:t xml:space="preserve">: </w:t>
            </w:r>
            <w:r>
              <w:rPr>
                <w:rFonts w:eastAsiaTheme="minorHAnsi" w:cstheme="minorHAnsi"/>
                <w:b/>
                <w:bCs/>
                <w:color w:val="FFFFFF" w:themeColor="background1"/>
                <w:sz w:val="32"/>
                <w:szCs w:val="32"/>
              </w:rPr>
              <w:t>Proposed exemption to facilitate personalised robo-advice</w:t>
            </w:r>
          </w:p>
        </w:tc>
      </w:tr>
      <w:tr w:rsidR="00965507" w:rsidTr="002551A9">
        <w:trPr>
          <w:trHeight w:val="988"/>
        </w:trPr>
        <w:tc>
          <w:tcPr>
            <w:tcW w:w="10499" w:type="dxa"/>
            <w:gridSpan w:val="2"/>
            <w:vAlign w:val="center"/>
          </w:tcPr>
          <w:p w:rsidR="00965507" w:rsidRDefault="00965507" w:rsidP="002551A9">
            <w:pPr>
              <w:rPr>
                <w:rFonts w:eastAsiaTheme="minorHAnsi"/>
                <w:b/>
                <w:color w:val="595959" w:themeColor="text1" w:themeTint="A6"/>
              </w:rPr>
            </w:pPr>
            <w:r>
              <w:rPr>
                <w:rFonts w:eastAsiaTheme="minorHAnsi"/>
                <w:color w:val="595959" w:themeColor="text1" w:themeTint="A6"/>
              </w:rPr>
              <w:t xml:space="preserve">Please submit this feedback form electronically in both PDF and MS Word formats and email it to us at </w:t>
            </w:r>
            <w:hyperlink r:id="rId5" w:history="1">
              <w:r>
                <w:rPr>
                  <w:rStyle w:val="Hyperlink"/>
                  <w:rFonts w:eastAsiaTheme="minorHAnsi"/>
                  <w:color w:val="00B0F0"/>
                  <w:u w:val="single"/>
                </w:rPr>
                <w:t>consultation@fma.govt.nz</w:t>
              </w:r>
            </w:hyperlink>
            <w:r>
              <w:rPr>
                <w:rFonts w:eastAsiaTheme="minorHAnsi"/>
                <w:color w:val="595959" w:themeColor="text1" w:themeTint="A6"/>
              </w:rPr>
              <w:t xml:space="preserve"> with </w:t>
            </w:r>
            <w:r>
              <w:t>‘</w:t>
            </w:r>
            <w:r>
              <w:rPr>
                <w:rFonts w:eastAsiaTheme="minorHAnsi"/>
                <w:color w:val="00B0F0"/>
                <w:szCs w:val="22"/>
              </w:rPr>
              <w:t>Proposed exemption to facilitate personalised robo-advice: [your organisation’s name</w:t>
            </w:r>
            <w:r>
              <w:rPr>
                <w:rFonts w:eastAsiaTheme="minorHAnsi"/>
                <w:color w:val="595959" w:themeColor="text1" w:themeTint="A6"/>
                <w:szCs w:val="22"/>
              </w:rPr>
              <w:t>]’</w:t>
            </w:r>
            <w:r>
              <w:rPr>
                <w:rFonts w:eastAsiaTheme="minorHAnsi"/>
                <w:color w:val="595959" w:themeColor="text1" w:themeTint="A6"/>
              </w:rPr>
              <w:t xml:space="preserve"> in the subject line. Thank you. </w:t>
            </w:r>
          </w:p>
          <w:p w:rsidR="00965507" w:rsidRDefault="00965507" w:rsidP="002551A9">
            <w:pPr>
              <w:rPr>
                <w:rFonts w:eastAsiaTheme="minorHAnsi"/>
                <w:color w:val="595959" w:themeColor="text1" w:themeTint="A6"/>
              </w:rPr>
            </w:pPr>
            <w:r>
              <w:rPr>
                <w:rFonts w:eastAsiaTheme="minorHAnsi"/>
                <w:b/>
                <w:color w:val="595959" w:themeColor="text1" w:themeTint="A6"/>
              </w:rPr>
              <w:t xml:space="preserve">Submissions close </w:t>
            </w:r>
            <w:r w:rsidRPr="006A0A5C">
              <w:rPr>
                <w:rFonts w:eastAsiaTheme="minorHAnsi"/>
                <w:b/>
                <w:color w:val="595959" w:themeColor="text1" w:themeTint="A6"/>
              </w:rPr>
              <w:t xml:space="preserve">on </w:t>
            </w:r>
            <w:r>
              <w:rPr>
                <w:rFonts w:eastAsiaTheme="minorHAnsi"/>
                <w:b/>
                <w:color w:val="595959" w:themeColor="text1" w:themeTint="A6"/>
              </w:rPr>
              <w:t>19</w:t>
            </w:r>
            <w:r w:rsidRPr="006A0A5C">
              <w:rPr>
                <w:rFonts w:eastAsiaTheme="minorHAnsi"/>
                <w:b/>
                <w:color w:val="595959" w:themeColor="text1" w:themeTint="A6"/>
              </w:rPr>
              <w:t xml:space="preserve"> July 2017.</w:t>
            </w:r>
          </w:p>
        </w:tc>
      </w:tr>
      <w:tr w:rsidR="00965507" w:rsidTr="002551A9">
        <w:trPr>
          <w:trHeight w:val="2265"/>
        </w:trPr>
        <w:tc>
          <w:tcPr>
            <w:tcW w:w="10499" w:type="dxa"/>
            <w:gridSpan w:val="2"/>
          </w:tcPr>
          <w:p w:rsidR="00965507" w:rsidRDefault="00965507" w:rsidP="002551A9">
            <w:pPr>
              <w:rPr>
                <w:rFonts w:eastAsiaTheme="minorHAnsi"/>
                <w:color w:val="595959" w:themeColor="text1" w:themeTint="A6"/>
              </w:rPr>
            </w:pPr>
            <w:r>
              <w:rPr>
                <w:rFonts w:eastAsiaTheme="minorHAnsi"/>
                <w:color w:val="595959" w:themeColor="text1" w:themeTint="A6"/>
              </w:rPr>
              <w:t xml:space="preserve">Date:     </w:t>
            </w:r>
            <w:r w:rsidR="000321B9">
              <w:rPr>
                <w:rFonts w:eastAsiaTheme="minorHAnsi"/>
                <w:color w:val="595959" w:themeColor="text1" w:themeTint="A6"/>
              </w:rPr>
              <w:t>19 July 2017</w:t>
            </w:r>
            <w:r>
              <w:rPr>
                <w:rFonts w:eastAsiaTheme="minorHAnsi"/>
                <w:color w:val="595959" w:themeColor="text1" w:themeTint="A6"/>
              </w:rPr>
              <w:t xml:space="preserve">                                                                 Number of pages:                             </w:t>
            </w:r>
            <w:r w:rsidR="00E867AD">
              <w:rPr>
                <w:rFonts w:eastAsiaTheme="minorHAnsi"/>
                <w:color w:val="595959" w:themeColor="text1" w:themeTint="A6"/>
              </w:rPr>
              <w:t>5</w:t>
            </w:r>
            <w:r>
              <w:rPr>
                <w:rFonts w:eastAsiaTheme="minorHAnsi"/>
                <w:color w:val="595959" w:themeColor="text1" w:themeTint="A6"/>
              </w:rPr>
              <w:t xml:space="preserve">                                                                            </w:t>
            </w:r>
          </w:p>
          <w:p w:rsidR="00965507" w:rsidRDefault="00965507" w:rsidP="002551A9">
            <w:pPr>
              <w:rPr>
                <w:rFonts w:eastAsiaTheme="minorHAnsi"/>
                <w:color w:val="595959" w:themeColor="text1" w:themeTint="A6"/>
              </w:rPr>
            </w:pPr>
            <w:r>
              <w:rPr>
                <w:rFonts w:eastAsiaTheme="minorHAnsi"/>
                <w:color w:val="595959" w:themeColor="text1" w:themeTint="A6"/>
              </w:rPr>
              <w:t>Name of submitter:</w:t>
            </w:r>
            <w:r w:rsidR="00B77823">
              <w:rPr>
                <w:rFonts w:eastAsiaTheme="minorHAnsi"/>
                <w:color w:val="595959" w:themeColor="text1" w:themeTint="A6"/>
              </w:rPr>
              <w:t xml:space="preserve"> Tim Grafton</w:t>
            </w:r>
          </w:p>
          <w:p w:rsidR="00965507" w:rsidRDefault="00965507" w:rsidP="002551A9">
            <w:pPr>
              <w:rPr>
                <w:rFonts w:eastAsiaTheme="minorHAnsi"/>
                <w:color w:val="595959" w:themeColor="text1" w:themeTint="A6"/>
              </w:rPr>
            </w:pPr>
            <w:r>
              <w:rPr>
                <w:rFonts w:eastAsiaTheme="minorHAnsi"/>
                <w:color w:val="595959" w:themeColor="text1" w:themeTint="A6"/>
              </w:rPr>
              <w:t>Company or entity:</w:t>
            </w:r>
            <w:r w:rsidR="00B77823">
              <w:rPr>
                <w:rFonts w:eastAsiaTheme="minorHAnsi"/>
                <w:color w:val="595959" w:themeColor="text1" w:themeTint="A6"/>
              </w:rPr>
              <w:t xml:space="preserve"> Insurance Council of New Zealand</w:t>
            </w:r>
          </w:p>
          <w:p w:rsidR="00965507" w:rsidRDefault="00965507" w:rsidP="002551A9">
            <w:pPr>
              <w:tabs>
                <w:tab w:val="left" w:pos="2710"/>
              </w:tabs>
              <w:rPr>
                <w:rFonts w:eastAsiaTheme="minorHAnsi"/>
                <w:color w:val="595959" w:themeColor="text1" w:themeTint="A6"/>
              </w:rPr>
            </w:pPr>
            <w:r>
              <w:rPr>
                <w:rFonts w:eastAsiaTheme="minorHAnsi"/>
                <w:color w:val="595959" w:themeColor="text1" w:themeTint="A6"/>
              </w:rPr>
              <w:t>Organisation type:</w:t>
            </w:r>
            <w:r w:rsidR="00B77823">
              <w:rPr>
                <w:rFonts w:eastAsiaTheme="minorHAnsi"/>
                <w:color w:val="595959" w:themeColor="text1" w:themeTint="A6"/>
              </w:rPr>
              <w:t xml:space="preserve"> General Insurance</w:t>
            </w:r>
            <w:r w:rsidR="000321B9">
              <w:rPr>
                <w:rFonts w:eastAsiaTheme="minorHAnsi"/>
                <w:color w:val="595959" w:themeColor="text1" w:themeTint="A6"/>
              </w:rPr>
              <w:t xml:space="preserve"> Industry</w:t>
            </w:r>
            <w:r w:rsidR="00B77823">
              <w:rPr>
                <w:rFonts w:eastAsiaTheme="minorHAnsi"/>
                <w:color w:val="595959" w:themeColor="text1" w:themeTint="A6"/>
              </w:rPr>
              <w:t xml:space="preserve"> Representative Organisation</w:t>
            </w:r>
          </w:p>
          <w:p w:rsidR="00965507" w:rsidRDefault="00965507" w:rsidP="002551A9">
            <w:pPr>
              <w:rPr>
                <w:rFonts w:eastAsiaTheme="minorHAnsi"/>
                <w:color w:val="595959" w:themeColor="text1" w:themeTint="A6"/>
              </w:rPr>
            </w:pPr>
            <w:r>
              <w:rPr>
                <w:rFonts w:eastAsiaTheme="minorHAnsi"/>
                <w:color w:val="595959" w:themeColor="text1" w:themeTint="A6"/>
              </w:rPr>
              <w:t>Contact name (if different):</w:t>
            </w:r>
            <w:r w:rsidR="00B77823">
              <w:rPr>
                <w:rFonts w:eastAsiaTheme="minorHAnsi"/>
                <w:color w:val="595959" w:themeColor="text1" w:themeTint="A6"/>
              </w:rPr>
              <w:t xml:space="preserve"> Tim Grafton</w:t>
            </w:r>
          </w:p>
          <w:p w:rsidR="00965507" w:rsidRDefault="00965507" w:rsidP="002551A9">
            <w:pPr>
              <w:rPr>
                <w:rFonts w:eastAsiaTheme="minorHAnsi"/>
                <w:color w:val="595959" w:themeColor="text1" w:themeTint="A6"/>
              </w:rPr>
            </w:pPr>
            <w:r>
              <w:rPr>
                <w:rFonts w:eastAsiaTheme="minorHAnsi"/>
                <w:color w:val="595959" w:themeColor="text1" w:themeTint="A6"/>
              </w:rPr>
              <w:t>Contact email and phone:</w:t>
            </w:r>
            <w:r w:rsidR="00B77823">
              <w:rPr>
                <w:rFonts w:eastAsiaTheme="minorHAnsi"/>
                <w:color w:val="595959" w:themeColor="text1" w:themeTint="A6"/>
              </w:rPr>
              <w:t xml:space="preserve"> </w:t>
            </w:r>
            <w:hyperlink r:id="rId6" w:history="1">
              <w:r w:rsidR="00B77823" w:rsidRPr="001A7E40">
                <w:rPr>
                  <w:rStyle w:val="Hyperlink"/>
                  <w:rFonts w:eastAsiaTheme="minorHAnsi"/>
                  <w:lang w:val="en-NZ"/>
                </w:rPr>
                <w:t>tim@icnz.org.nz</w:t>
              </w:r>
            </w:hyperlink>
            <w:r w:rsidR="00B77823">
              <w:rPr>
                <w:rFonts w:eastAsiaTheme="minorHAnsi"/>
                <w:color w:val="595959" w:themeColor="text1" w:themeTint="A6"/>
              </w:rPr>
              <w:t xml:space="preserve"> or 04-495-8001</w:t>
            </w:r>
          </w:p>
        </w:tc>
      </w:tr>
      <w:tr w:rsidR="00965507" w:rsidTr="002551A9">
        <w:tc>
          <w:tcPr>
            <w:tcW w:w="3262" w:type="dxa"/>
            <w:tcBorders>
              <w:bottom w:val="single" w:sz="4" w:space="0" w:color="auto"/>
            </w:tcBorders>
            <w:shd w:val="clear" w:color="auto" w:fill="D9D9D9" w:themeFill="background1" w:themeFillShade="D9"/>
          </w:tcPr>
          <w:p w:rsidR="00965507" w:rsidRDefault="00965507" w:rsidP="002551A9">
            <w:pPr>
              <w:spacing w:after="0" w:line="240" w:lineRule="auto"/>
              <w:rPr>
                <w:rFonts w:eastAsiaTheme="minorHAnsi" w:cstheme="minorHAnsi"/>
                <w:b/>
                <w:color w:val="595959" w:themeColor="text1" w:themeTint="A6"/>
              </w:rPr>
            </w:pPr>
            <w:r>
              <w:rPr>
                <w:rFonts w:eastAsiaTheme="minorHAnsi" w:cstheme="minorHAnsi"/>
                <w:b/>
                <w:color w:val="595959" w:themeColor="text1" w:themeTint="A6"/>
              </w:rPr>
              <w:t>Question or</w:t>
            </w:r>
          </w:p>
          <w:p w:rsidR="00965507" w:rsidRDefault="00965507" w:rsidP="002551A9">
            <w:pPr>
              <w:spacing w:after="0" w:line="240" w:lineRule="auto"/>
              <w:rPr>
                <w:rFonts w:eastAsiaTheme="minorHAnsi" w:cstheme="minorHAnsi"/>
                <w:b/>
                <w:color w:val="595959" w:themeColor="text1" w:themeTint="A6"/>
              </w:rPr>
            </w:pPr>
            <w:r>
              <w:rPr>
                <w:rFonts w:eastAsiaTheme="minorHAnsi" w:cstheme="minorHAnsi"/>
                <w:b/>
                <w:color w:val="595959" w:themeColor="text1" w:themeTint="A6"/>
              </w:rPr>
              <w:t>paragraph number</w:t>
            </w:r>
          </w:p>
        </w:tc>
        <w:tc>
          <w:tcPr>
            <w:tcW w:w="7237" w:type="dxa"/>
            <w:shd w:val="clear" w:color="auto" w:fill="D9D9D9" w:themeFill="background1" w:themeFillShade="D9"/>
          </w:tcPr>
          <w:p w:rsidR="00965507" w:rsidRDefault="00965507" w:rsidP="002551A9">
            <w:pPr>
              <w:rPr>
                <w:rFonts w:eastAsiaTheme="minorHAnsi" w:cstheme="minorHAnsi"/>
                <w:b/>
                <w:color w:val="595959" w:themeColor="text1" w:themeTint="A6"/>
              </w:rPr>
            </w:pPr>
            <w:r>
              <w:rPr>
                <w:rFonts w:eastAsiaTheme="minorHAnsi" w:cstheme="minorHAnsi"/>
                <w:b/>
                <w:color w:val="595959" w:themeColor="text1" w:themeTint="A6"/>
              </w:rPr>
              <w:t>Response</w:t>
            </w:r>
          </w:p>
        </w:tc>
      </w:tr>
      <w:tr w:rsidR="00965507" w:rsidTr="002551A9">
        <w:tc>
          <w:tcPr>
            <w:tcW w:w="10499" w:type="dxa"/>
            <w:gridSpan w:val="2"/>
          </w:tcPr>
          <w:p w:rsidR="00965507" w:rsidRDefault="00965507" w:rsidP="002551A9">
            <w:pPr>
              <w:rPr>
                <w:rFonts w:eastAsiaTheme="minorHAnsi" w:cstheme="minorHAnsi"/>
                <w:i/>
                <w:color w:val="595959" w:themeColor="text1" w:themeTint="A6"/>
              </w:rPr>
            </w:pPr>
            <w:r>
              <w:rPr>
                <w:rFonts w:eastAsiaTheme="minorHAnsi"/>
                <w:i/>
                <w:color w:val="595959" w:themeColor="text1" w:themeTint="A6"/>
                <w:szCs w:val="20"/>
              </w:rPr>
              <w:t>You don’t need to quote from the consultation document if you note the paragraph or question number</w:t>
            </w:r>
            <w:r>
              <w:rPr>
                <w:rFonts w:eastAsiaTheme="minorHAnsi"/>
                <w:color w:val="595959" w:themeColor="text1" w:themeTint="A6"/>
                <w:szCs w:val="20"/>
              </w:rPr>
              <w:t xml:space="preserve">. </w:t>
            </w:r>
          </w:p>
        </w:tc>
      </w:tr>
      <w:tr w:rsidR="00965507" w:rsidTr="002551A9">
        <w:tc>
          <w:tcPr>
            <w:tcW w:w="3262" w:type="dxa"/>
          </w:tcPr>
          <w:p w:rsidR="00965507" w:rsidRPr="00181627" w:rsidRDefault="00181627" w:rsidP="00181627">
            <w:pPr>
              <w:jc w:val="center"/>
              <w:rPr>
                <w:rFonts w:eastAsiaTheme="minorHAnsi" w:cstheme="minorHAnsi"/>
                <w:color w:val="595959" w:themeColor="text1" w:themeTint="A6"/>
              </w:rPr>
            </w:pPr>
            <w:r>
              <w:rPr>
                <w:rFonts w:eastAsiaTheme="minorHAnsi" w:cstheme="minorHAnsi"/>
                <w:color w:val="595959" w:themeColor="text1" w:themeTint="A6"/>
              </w:rPr>
              <w:t>(1)</w:t>
            </w:r>
          </w:p>
        </w:tc>
        <w:tc>
          <w:tcPr>
            <w:tcW w:w="7237" w:type="dxa"/>
          </w:tcPr>
          <w:p w:rsidR="000321B9" w:rsidRDefault="00B77823" w:rsidP="000321B9">
            <w:pPr>
              <w:rPr>
                <w:rFonts w:ascii="Calibri" w:hAnsi="Calibri" w:cs="Calibri"/>
              </w:rPr>
            </w:pPr>
            <w:r w:rsidRPr="00467CA4">
              <w:rPr>
                <w:rFonts w:ascii="Calibri" w:eastAsiaTheme="minorHAnsi" w:hAnsi="Calibri" w:cs="Calibri"/>
                <w:color w:val="595959" w:themeColor="text1" w:themeTint="A6"/>
              </w:rPr>
              <w:t xml:space="preserve"> We are generally supportive of the exemption proposal. </w:t>
            </w:r>
            <w:r w:rsidR="00181627" w:rsidRPr="00467CA4">
              <w:rPr>
                <w:rFonts w:ascii="Calibri" w:eastAsiaTheme="minorHAnsi" w:hAnsi="Calibri" w:cs="Calibri"/>
                <w:color w:val="595959" w:themeColor="text1" w:themeTint="A6"/>
              </w:rPr>
              <w:t>This is because we believe there are benefits for consumers and providers of advisory services such as</w:t>
            </w:r>
            <w:r w:rsidR="00181627" w:rsidRPr="00467CA4">
              <w:rPr>
                <w:rFonts w:ascii="Calibri" w:hAnsi="Calibri" w:cs="Calibri"/>
              </w:rPr>
              <w:t xml:space="preserve"> access to more customer-friendly and convenient services, lower cost operations</w:t>
            </w:r>
            <w:r w:rsidR="00467CA4">
              <w:rPr>
                <w:rFonts w:ascii="Calibri" w:hAnsi="Calibri" w:cs="Calibri"/>
              </w:rPr>
              <w:t xml:space="preserve"> for providers,</w:t>
            </w:r>
            <w:r w:rsidR="000321B9">
              <w:rPr>
                <w:rFonts w:ascii="Calibri" w:hAnsi="Calibri" w:cs="Calibri"/>
              </w:rPr>
              <w:t xml:space="preserve"> </w:t>
            </w:r>
            <w:r w:rsidR="00181627" w:rsidRPr="00467CA4">
              <w:rPr>
                <w:rFonts w:ascii="Calibri" w:hAnsi="Calibri" w:cs="Calibri"/>
              </w:rPr>
              <w:t xml:space="preserve">greater competition in the form of an additional channel for the delivery of advice as well as overall efficiency gains.  </w:t>
            </w:r>
          </w:p>
          <w:p w:rsidR="00965507" w:rsidRDefault="000F4B2E" w:rsidP="000321B9">
            <w:pPr>
              <w:rPr>
                <w:rFonts w:ascii="Calibri" w:hAnsi="Calibri" w:cs="Calibri"/>
              </w:rPr>
            </w:pPr>
            <w:r>
              <w:rPr>
                <w:rFonts w:ascii="Calibri" w:hAnsi="Calibri" w:cs="Calibri"/>
              </w:rPr>
              <w:t xml:space="preserve">We also believe that regulators </w:t>
            </w:r>
            <w:r w:rsidR="000321B9">
              <w:rPr>
                <w:rFonts w:ascii="Calibri" w:hAnsi="Calibri" w:cs="Calibri"/>
              </w:rPr>
              <w:t>should support</w:t>
            </w:r>
            <w:r>
              <w:rPr>
                <w:rFonts w:ascii="Calibri" w:hAnsi="Calibri" w:cs="Calibri"/>
              </w:rPr>
              <w:t xml:space="preserve"> innovations that have demonstrable benefits and not present barriers such as through inaction. </w:t>
            </w:r>
            <w:r w:rsidR="00181627" w:rsidRPr="00467CA4">
              <w:rPr>
                <w:rFonts w:ascii="Calibri" w:hAnsi="Calibri" w:cs="Calibri"/>
              </w:rPr>
              <w:t>The proposal places checks and balances by applying limits and conditions which seem generally to be appropriate to guard against the risks posed to consumer har</w:t>
            </w:r>
            <w:r w:rsidR="00467CA4">
              <w:rPr>
                <w:rFonts w:ascii="Calibri" w:hAnsi="Calibri" w:cs="Calibri"/>
              </w:rPr>
              <w:t>m</w:t>
            </w:r>
            <w:r w:rsidR="00181627" w:rsidRPr="00467CA4">
              <w:rPr>
                <w:rFonts w:ascii="Calibri" w:hAnsi="Calibri" w:cs="Calibri"/>
              </w:rPr>
              <w:t xml:space="preserve"> and reputational damage to the insurance sector.</w:t>
            </w:r>
          </w:p>
          <w:p w:rsidR="00467CA4" w:rsidRPr="00467CA4" w:rsidRDefault="000F4B2E" w:rsidP="000321B9">
            <w:pPr>
              <w:spacing w:after="0" w:line="240" w:lineRule="auto"/>
              <w:rPr>
                <w:rFonts w:ascii="Calibri" w:hAnsi="Calibri" w:cs="Calibri"/>
              </w:rPr>
            </w:pPr>
            <w:r>
              <w:rPr>
                <w:rFonts w:ascii="Calibri" w:eastAsiaTheme="minorHAnsi" w:hAnsi="Calibri" w:cs="Calibri"/>
                <w:color w:val="595959" w:themeColor="text1" w:themeTint="A6"/>
              </w:rPr>
              <w:t>In general, p</w:t>
            </w:r>
            <w:r w:rsidR="00467CA4" w:rsidRPr="00467CA4">
              <w:rPr>
                <w:rFonts w:ascii="Calibri" w:eastAsiaTheme="minorHAnsi" w:hAnsi="Calibri" w:cs="Calibri"/>
                <w:color w:val="595959" w:themeColor="text1" w:themeTint="A6"/>
              </w:rPr>
              <w:t xml:space="preserve">ublic </w:t>
            </w:r>
            <w:r w:rsidR="00467CA4" w:rsidRPr="00467CA4">
              <w:rPr>
                <w:rFonts w:ascii="Calibri" w:hAnsi="Calibri" w:cs="Calibri"/>
              </w:rPr>
              <w:t xml:space="preserve">policy should </w:t>
            </w:r>
            <w:r w:rsidR="000321B9" w:rsidRPr="00467CA4">
              <w:rPr>
                <w:rFonts w:ascii="Calibri" w:hAnsi="Calibri" w:cs="Calibri"/>
              </w:rPr>
              <w:t>endeavor</w:t>
            </w:r>
            <w:r w:rsidR="00467CA4" w:rsidRPr="00467CA4">
              <w:rPr>
                <w:rFonts w:ascii="Calibri" w:hAnsi="Calibri" w:cs="Calibri"/>
              </w:rPr>
              <w:t xml:space="preserve"> to create technology-agnostic regulatory oversight that maintains a high level of consumer protection and that ensures market participants have the flexibility to react, adapt and innovate to improve products and services, and/or meet shifting consumer expectations.</w:t>
            </w:r>
          </w:p>
          <w:p w:rsidR="00467CA4" w:rsidRPr="00467CA4" w:rsidRDefault="00467CA4" w:rsidP="000321B9">
            <w:pPr>
              <w:rPr>
                <w:rFonts w:ascii="Calibri" w:eastAsiaTheme="minorHAnsi" w:hAnsi="Calibri" w:cs="Calibri"/>
                <w:color w:val="595959" w:themeColor="text1" w:themeTint="A6"/>
              </w:rPr>
            </w:pPr>
          </w:p>
        </w:tc>
      </w:tr>
      <w:tr w:rsidR="00965507" w:rsidTr="002551A9">
        <w:tc>
          <w:tcPr>
            <w:tcW w:w="3262" w:type="dxa"/>
          </w:tcPr>
          <w:p w:rsidR="00965507" w:rsidRPr="00B77823" w:rsidRDefault="00181627" w:rsidP="00181627">
            <w:pPr>
              <w:jc w:val="center"/>
              <w:rPr>
                <w:rFonts w:eastAsiaTheme="minorHAnsi" w:cstheme="minorHAnsi"/>
                <w:color w:val="595959" w:themeColor="text1" w:themeTint="A6"/>
              </w:rPr>
            </w:pPr>
            <w:r>
              <w:rPr>
                <w:rFonts w:eastAsiaTheme="minorHAnsi" w:cstheme="minorHAnsi"/>
                <w:color w:val="595959" w:themeColor="text1" w:themeTint="A6"/>
              </w:rPr>
              <w:t>(2)</w:t>
            </w:r>
          </w:p>
        </w:tc>
        <w:tc>
          <w:tcPr>
            <w:tcW w:w="7237" w:type="dxa"/>
          </w:tcPr>
          <w:p w:rsidR="00CC3A35" w:rsidRPr="00467CA4" w:rsidRDefault="00181627" w:rsidP="000321B9">
            <w:pPr>
              <w:spacing w:after="0" w:line="240" w:lineRule="auto"/>
              <w:rPr>
                <w:rFonts w:ascii="Calibri" w:eastAsiaTheme="minorHAnsi" w:hAnsi="Calibri" w:cs="Calibri"/>
                <w:color w:val="595959" w:themeColor="text1" w:themeTint="A6"/>
              </w:rPr>
            </w:pPr>
            <w:r w:rsidRPr="00467CA4">
              <w:rPr>
                <w:rFonts w:ascii="Calibri" w:eastAsiaTheme="minorHAnsi" w:hAnsi="Calibri" w:cs="Calibri"/>
                <w:color w:val="595959" w:themeColor="text1" w:themeTint="A6"/>
              </w:rPr>
              <w:t>Yes,</w:t>
            </w:r>
            <w:r w:rsidR="00CC3A35" w:rsidRPr="00467CA4">
              <w:rPr>
                <w:rFonts w:ascii="Calibri" w:eastAsiaTheme="minorHAnsi" w:hAnsi="Calibri" w:cs="Calibri"/>
                <w:color w:val="595959" w:themeColor="text1" w:themeTint="A6"/>
              </w:rPr>
              <w:t xml:space="preserve"> we are operating in a world of fast-moving technological change which will require public policy and regulatory act</w:t>
            </w:r>
            <w:r w:rsidR="000321B9">
              <w:rPr>
                <w:rFonts w:ascii="Calibri" w:eastAsiaTheme="minorHAnsi" w:hAnsi="Calibri" w:cs="Calibri"/>
                <w:color w:val="595959" w:themeColor="text1" w:themeTint="A6"/>
              </w:rPr>
              <w:t xml:space="preserve">ivity to be light on its feet. </w:t>
            </w:r>
            <w:r w:rsidR="00CC3A35" w:rsidRPr="00467CA4">
              <w:rPr>
                <w:rFonts w:ascii="Calibri" w:eastAsiaTheme="minorHAnsi" w:hAnsi="Calibri" w:cs="Calibri"/>
                <w:color w:val="595959" w:themeColor="text1" w:themeTint="A6"/>
              </w:rPr>
              <w:t>Legislative change is too slow</w:t>
            </w:r>
            <w:r w:rsidRPr="00467CA4">
              <w:rPr>
                <w:rFonts w:ascii="Calibri" w:eastAsiaTheme="minorHAnsi" w:hAnsi="Calibri" w:cs="Calibri"/>
                <w:color w:val="595959" w:themeColor="text1" w:themeTint="A6"/>
              </w:rPr>
              <w:t xml:space="preserve"> </w:t>
            </w:r>
            <w:r w:rsidR="00CC3A35" w:rsidRPr="00467CA4">
              <w:rPr>
                <w:rFonts w:ascii="Calibri" w:eastAsiaTheme="minorHAnsi" w:hAnsi="Calibri" w:cs="Calibri"/>
                <w:color w:val="595959" w:themeColor="text1" w:themeTint="A6"/>
              </w:rPr>
              <w:t>to effect change</w:t>
            </w:r>
            <w:r w:rsidR="00467CA4">
              <w:rPr>
                <w:rFonts w:ascii="Calibri" w:eastAsiaTheme="minorHAnsi" w:hAnsi="Calibri" w:cs="Calibri"/>
                <w:color w:val="595959" w:themeColor="text1" w:themeTint="A6"/>
              </w:rPr>
              <w:t>.  This</w:t>
            </w:r>
            <w:r w:rsidR="00CC3A35" w:rsidRPr="00467CA4">
              <w:rPr>
                <w:rFonts w:ascii="Calibri" w:eastAsiaTheme="minorHAnsi" w:hAnsi="Calibri" w:cs="Calibri"/>
                <w:color w:val="595959" w:themeColor="text1" w:themeTint="A6"/>
              </w:rPr>
              <w:t xml:space="preserve"> has been recognised in many other areas by providing for regulatory instruments that do not require law change.</w:t>
            </w:r>
          </w:p>
          <w:p w:rsidR="00CC3A35" w:rsidRPr="00467CA4" w:rsidRDefault="00CC3A35" w:rsidP="000321B9">
            <w:pPr>
              <w:spacing w:after="0" w:line="240" w:lineRule="auto"/>
              <w:rPr>
                <w:rFonts w:ascii="Calibri" w:eastAsiaTheme="minorHAnsi" w:hAnsi="Calibri" w:cs="Calibri"/>
                <w:color w:val="595959" w:themeColor="text1" w:themeTint="A6"/>
              </w:rPr>
            </w:pPr>
          </w:p>
          <w:p w:rsidR="00965507" w:rsidRPr="00467CA4" w:rsidRDefault="00965507" w:rsidP="000321B9">
            <w:pPr>
              <w:spacing w:after="0" w:line="240" w:lineRule="auto"/>
              <w:rPr>
                <w:rFonts w:ascii="Calibri" w:eastAsiaTheme="minorHAnsi" w:hAnsi="Calibri" w:cs="Calibri"/>
                <w:color w:val="595959" w:themeColor="text1" w:themeTint="A6"/>
              </w:rPr>
            </w:pPr>
          </w:p>
        </w:tc>
      </w:tr>
      <w:tr w:rsidR="00965507" w:rsidTr="002551A9">
        <w:tc>
          <w:tcPr>
            <w:tcW w:w="3262" w:type="dxa"/>
          </w:tcPr>
          <w:p w:rsidR="00965507" w:rsidRPr="00181627" w:rsidRDefault="00181627" w:rsidP="00181627">
            <w:pPr>
              <w:jc w:val="center"/>
              <w:rPr>
                <w:rFonts w:eastAsiaTheme="minorHAnsi" w:cstheme="minorHAnsi"/>
                <w:color w:val="595959" w:themeColor="text1" w:themeTint="A6"/>
              </w:rPr>
            </w:pPr>
            <w:r>
              <w:rPr>
                <w:rFonts w:eastAsiaTheme="minorHAnsi" w:cstheme="minorHAnsi"/>
                <w:color w:val="595959" w:themeColor="text1" w:themeTint="A6"/>
              </w:rPr>
              <w:t>(3)</w:t>
            </w:r>
          </w:p>
        </w:tc>
        <w:tc>
          <w:tcPr>
            <w:tcW w:w="7237" w:type="dxa"/>
          </w:tcPr>
          <w:p w:rsidR="000321B9" w:rsidRDefault="00CC3A35" w:rsidP="000321B9">
            <w:pPr>
              <w:rPr>
                <w:rFonts w:ascii="Calibri" w:eastAsiaTheme="minorHAnsi" w:hAnsi="Calibri" w:cs="Calibri"/>
                <w:color w:val="595959" w:themeColor="text1" w:themeTint="A6"/>
              </w:rPr>
            </w:pPr>
            <w:r w:rsidRPr="00467CA4">
              <w:rPr>
                <w:rFonts w:ascii="Calibri" w:eastAsiaTheme="minorHAnsi" w:hAnsi="Calibri" w:cs="Calibri"/>
                <w:color w:val="595959" w:themeColor="text1" w:themeTint="A6"/>
              </w:rPr>
              <w:t>This is a commercial issue</w:t>
            </w:r>
            <w:r w:rsidR="00467CA4">
              <w:rPr>
                <w:rFonts w:ascii="Calibri" w:eastAsiaTheme="minorHAnsi" w:hAnsi="Calibri" w:cs="Calibri"/>
                <w:color w:val="595959" w:themeColor="text1" w:themeTint="A6"/>
              </w:rPr>
              <w:t xml:space="preserve"> and we are not in the market, so our </w:t>
            </w:r>
            <w:r w:rsidRPr="00467CA4">
              <w:rPr>
                <w:rFonts w:ascii="Calibri" w:eastAsiaTheme="minorHAnsi" w:hAnsi="Calibri" w:cs="Calibri"/>
                <w:color w:val="595959" w:themeColor="text1" w:themeTint="A6"/>
              </w:rPr>
              <w:t>comment</w:t>
            </w:r>
            <w:r w:rsidR="00467CA4">
              <w:rPr>
                <w:rFonts w:ascii="Calibri" w:eastAsiaTheme="minorHAnsi" w:hAnsi="Calibri" w:cs="Calibri"/>
                <w:color w:val="595959" w:themeColor="text1" w:themeTint="A6"/>
              </w:rPr>
              <w:t xml:space="preserve"> here has a caveat.  </w:t>
            </w:r>
          </w:p>
          <w:p w:rsidR="000321B9" w:rsidRDefault="00467CA4" w:rsidP="000321B9">
            <w:pPr>
              <w:rPr>
                <w:rFonts w:ascii="Calibri" w:eastAsiaTheme="minorHAnsi" w:hAnsi="Calibri" w:cs="Calibri"/>
                <w:color w:val="595959" w:themeColor="text1" w:themeTint="A6"/>
              </w:rPr>
            </w:pPr>
            <w:r>
              <w:rPr>
                <w:rFonts w:ascii="Calibri" w:eastAsiaTheme="minorHAnsi" w:hAnsi="Calibri" w:cs="Calibri"/>
                <w:color w:val="595959" w:themeColor="text1" w:themeTint="A6"/>
              </w:rPr>
              <w:t>However,</w:t>
            </w:r>
            <w:r w:rsidR="00CC3A35" w:rsidRPr="00467CA4">
              <w:rPr>
                <w:rFonts w:ascii="Calibri" w:eastAsiaTheme="minorHAnsi" w:hAnsi="Calibri" w:cs="Calibri"/>
                <w:color w:val="595959" w:themeColor="text1" w:themeTint="A6"/>
              </w:rPr>
              <w:t xml:space="preserve"> we would </w:t>
            </w:r>
            <w:r>
              <w:rPr>
                <w:rFonts w:ascii="Calibri" w:eastAsiaTheme="minorHAnsi" w:hAnsi="Calibri" w:cs="Calibri"/>
                <w:color w:val="595959" w:themeColor="text1" w:themeTint="A6"/>
              </w:rPr>
              <w:t>observe</w:t>
            </w:r>
            <w:r w:rsidR="000321B9">
              <w:rPr>
                <w:rFonts w:ascii="Calibri" w:eastAsiaTheme="minorHAnsi" w:hAnsi="Calibri" w:cs="Calibri"/>
                <w:color w:val="595959" w:themeColor="text1" w:themeTint="A6"/>
              </w:rPr>
              <w:t xml:space="preserve"> that r</w:t>
            </w:r>
            <w:r w:rsidR="00CC3A35" w:rsidRPr="00467CA4">
              <w:rPr>
                <w:rFonts w:ascii="Calibri" w:eastAsiaTheme="minorHAnsi" w:hAnsi="Calibri" w:cs="Calibri"/>
                <w:color w:val="595959" w:themeColor="text1" w:themeTint="A6"/>
              </w:rPr>
              <w:t xml:space="preserve">obo-advice will reduce costs for providers, so the medium and possibly </w:t>
            </w:r>
            <w:r>
              <w:rPr>
                <w:rFonts w:ascii="Calibri" w:eastAsiaTheme="minorHAnsi" w:hAnsi="Calibri" w:cs="Calibri"/>
                <w:color w:val="595959" w:themeColor="text1" w:themeTint="A6"/>
              </w:rPr>
              <w:t xml:space="preserve">even </w:t>
            </w:r>
            <w:r w:rsidR="00CC3A35" w:rsidRPr="00467CA4">
              <w:rPr>
                <w:rFonts w:ascii="Calibri" w:eastAsiaTheme="minorHAnsi" w:hAnsi="Calibri" w:cs="Calibri"/>
                <w:color w:val="595959" w:themeColor="text1" w:themeTint="A6"/>
              </w:rPr>
              <w:t xml:space="preserve">the short-term gain for providers would likely </w:t>
            </w:r>
            <w:r w:rsidR="000321B9">
              <w:rPr>
                <w:rFonts w:ascii="Calibri" w:eastAsiaTheme="minorHAnsi" w:hAnsi="Calibri" w:cs="Calibri"/>
                <w:color w:val="595959" w:themeColor="text1" w:themeTint="A6"/>
              </w:rPr>
              <w:t xml:space="preserve">outweigh the regulatory costs. We agree with the FMA’s analysis that having to incorporate a human AFA into the robo-advice process would defeat the purpose of these cost savings. </w:t>
            </w:r>
          </w:p>
          <w:p w:rsidR="00965507" w:rsidRDefault="00CC3A35" w:rsidP="000321B9">
            <w:pPr>
              <w:rPr>
                <w:rFonts w:ascii="Calibri" w:eastAsiaTheme="minorHAnsi" w:hAnsi="Calibri" w:cs="Calibri"/>
                <w:color w:val="595959" w:themeColor="text1" w:themeTint="A6"/>
              </w:rPr>
            </w:pPr>
            <w:r w:rsidRPr="00467CA4">
              <w:rPr>
                <w:rFonts w:ascii="Calibri" w:eastAsiaTheme="minorHAnsi" w:hAnsi="Calibri" w:cs="Calibri"/>
                <w:color w:val="595959" w:themeColor="text1" w:themeTint="A6"/>
              </w:rPr>
              <w:lastRenderedPageBreak/>
              <w:t>We support the need for terms and conditions to be applied for the reasons given in (1) above</w:t>
            </w:r>
            <w:r w:rsidR="00467CA4">
              <w:rPr>
                <w:rFonts w:ascii="Calibri" w:eastAsiaTheme="minorHAnsi" w:hAnsi="Calibri" w:cs="Calibri"/>
                <w:color w:val="595959" w:themeColor="text1" w:themeTint="A6"/>
              </w:rPr>
              <w:t>, so provision should not be without cost</w:t>
            </w:r>
            <w:r w:rsidRPr="00467CA4">
              <w:rPr>
                <w:rFonts w:ascii="Calibri" w:eastAsiaTheme="minorHAnsi" w:hAnsi="Calibri" w:cs="Calibri"/>
                <w:color w:val="595959" w:themeColor="text1" w:themeTint="A6"/>
              </w:rPr>
              <w:t>.</w:t>
            </w:r>
          </w:p>
          <w:p w:rsidR="00467CA4" w:rsidRDefault="00467CA4" w:rsidP="000321B9">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In terms of costs borne, </w:t>
            </w:r>
            <w:r w:rsidR="00130FF5">
              <w:rPr>
                <w:rFonts w:ascii="Calibri" w:eastAsiaTheme="minorHAnsi" w:hAnsi="Calibri" w:cs="Calibri"/>
                <w:color w:val="595959" w:themeColor="text1" w:themeTint="A6"/>
              </w:rPr>
              <w:t xml:space="preserve">we note </w:t>
            </w:r>
            <w:r>
              <w:rPr>
                <w:rFonts w:ascii="Calibri" w:eastAsiaTheme="minorHAnsi" w:hAnsi="Calibri" w:cs="Calibri"/>
                <w:color w:val="595959" w:themeColor="text1" w:themeTint="A6"/>
              </w:rPr>
              <w:t xml:space="preserve">FMA is largely funded through levies provided by entities and individual advisers registered with FMA. We believe that regulatory measures should be competitive-neutral.  Unless we have misunderstood the proposal, it does appear to us that owners of </w:t>
            </w:r>
            <w:r w:rsidR="00130FF5">
              <w:rPr>
                <w:rFonts w:ascii="Calibri" w:eastAsiaTheme="minorHAnsi" w:hAnsi="Calibri" w:cs="Calibri"/>
                <w:color w:val="595959" w:themeColor="text1" w:themeTint="A6"/>
              </w:rPr>
              <w:t>r</w:t>
            </w:r>
            <w:r>
              <w:rPr>
                <w:rFonts w:ascii="Calibri" w:eastAsiaTheme="minorHAnsi" w:hAnsi="Calibri" w:cs="Calibri"/>
                <w:color w:val="595959" w:themeColor="text1" w:themeTint="A6"/>
              </w:rPr>
              <w:t xml:space="preserve">obo-advice services would be able to enter the market without bearing any cost to fund the FMA.  This would put them at a competitive advantage, so we would </w:t>
            </w:r>
            <w:r w:rsidR="00464639">
              <w:rPr>
                <w:rFonts w:ascii="Calibri" w:eastAsiaTheme="minorHAnsi" w:hAnsi="Calibri" w:cs="Calibri"/>
                <w:color w:val="595959" w:themeColor="text1" w:themeTint="A6"/>
              </w:rPr>
              <w:t>propose</w:t>
            </w:r>
            <w:r>
              <w:rPr>
                <w:rFonts w:ascii="Calibri" w:eastAsiaTheme="minorHAnsi" w:hAnsi="Calibri" w:cs="Calibri"/>
                <w:color w:val="595959" w:themeColor="text1" w:themeTint="A6"/>
              </w:rPr>
              <w:t xml:space="preserve"> such entrants being required to contribute toward the FMAs costs</w:t>
            </w:r>
            <w:r w:rsidR="000F4B2E">
              <w:rPr>
                <w:rFonts w:ascii="Calibri" w:eastAsiaTheme="minorHAnsi" w:hAnsi="Calibri" w:cs="Calibri"/>
                <w:color w:val="595959" w:themeColor="text1" w:themeTint="A6"/>
              </w:rPr>
              <w:t xml:space="preserve"> or else be excluded from the exemption</w:t>
            </w:r>
            <w:r>
              <w:rPr>
                <w:rFonts w:ascii="Calibri" w:eastAsiaTheme="minorHAnsi" w:hAnsi="Calibri" w:cs="Calibri"/>
                <w:color w:val="595959" w:themeColor="text1" w:themeTint="A6"/>
              </w:rPr>
              <w:t xml:space="preserve">. </w:t>
            </w:r>
          </w:p>
          <w:p w:rsidR="00130FF5" w:rsidRPr="00467CA4" w:rsidRDefault="00130FF5" w:rsidP="000321B9">
            <w:pPr>
              <w:rPr>
                <w:rFonts w:ascii="Calibri" w:eastAsiaTheme="minorHAnsi" w:hAnsi="Calibri" w:cs="Calibri"/>
                <w:color w:val="595959" w:themeColor="text1" w:themeTint="A6"/>
              </w:rPr>
            </w:pPr>
          </w:p>
        </w:tc>
      </w:tr>
      <w:tr w:rsidR="00965507" w:rsidTr="002551A9">
        <w:tc>
          <w:tcPr>
            <w:tcW w:w="3262" w:type="dxa"/>
          </w:tcPr>
          <w:p w:rsidR="00965507" w:rsidRPr="00B77823" w:rsidRDefault="00181627" w:rsidP="00181627">
            <w:pPr>
              <w:jc w:val="center"/>
              <w:rPr>
                <w:rFonts w:eastAsiaTheme="minorHAnsi" w:cstheme="minorHAnsi"/>
                <w:color w:val="595959" w:themeColor="text1" w:themeTint="A6"/>
              </w:rPr>
            </w:pPr>
            <w:r>
              <w:rPr>
                <w:rFonts w:eastAsiaTheme="minorHAnsi" w:cstheme="minorHAnsi"/>
                <w:color w:val="595959" w:themeColor="text1" w:themeTint="A6"/>
              </w:rPr>
              <w:lastRenderedPageBreak/>
              <w:t>(4)</w:t>
            </w:r>
          </w:p>
        </w:tc>
        <w:tc>
          <w:tcPr>
            <w:tcW w:w="7237" w:type="dxa"/>
          </w:tcPr>
          <w:p w:rsidR="00965507" w:rsidRDefault="000F4B2E" w:rsidP="002551A9">
            <w:pPr>
              <w:rPr>
                <w:rFonts w:asciiTheme="minorHAnsi" w:eastAsiaTheme="minorHAnsi" w:hAnsiTheme="minorHAnsi" w:cstheme="minorHAnsi"/>
                <w:color w:val="595959" w:themeColor="text1" w:themeTint="A6"/>
              </w:rPr>
            </w:pPr>
            <w:r w:rsidRPr="000F4B2E">
              <w:rPr>
                <w:rFonts w:asciiTheme="minorHAnsi" w:eastAsiaTheme="minorHAnsi" w:hAnsiTheme="minorHAnsi" w:cstheme="minorHAnsi"/>
                <w:color w:val="595959" w:themeColor="text1" w:themeTint="A6"/>
              </w:rPr>
              <w:t>We support the class exemption approach as proposed to lighten the regulatory burden</w:t>
            </w:r>
            <w:r>
              <w:rPr>
                <w:rFonts w:asciiTheme="minorHAnsi" w:eastAsiaTheme="minorHAnsi" w:hAnsiTheme="minorHAnsi" w:cstheme="minorHAnsi"/>
                <w:color w:val="595959" w:themeColor="text1" w:themeTint="A6"/>
              </w:rPr>
              <w:t xml:space="preserve">. </w:t>
            </w:r>
          </w:p>
          <w:p w:rsidR="00130FF5" w:rsidRPr="000F4B2E" w:rsidRDefault="00130FF5" w:rsidP="002551A9">
            <w:pPr>
              <w:rPr>
                <w:rFonts w:asciiTheme="minorHAnsi" w:eastAsiaTheme="minorHAnsi" w:hAnsiTheme="minorHAnsi" w:cstheme="minorHAnsi"/>
                <w:color w:val="595959" w:themeColor="text1" w:themeTint="A6"/>
              </w:rPr>
            </w:pPr>
          </w:p>
        </w:tc>
      </w:tr>
      <w:tr w:rsidR="00965507" w:rsidTr="002551A9">
        <w:tc>
          <w:tcPr>
            <w:tcW w:w="3262" w:type="dxa"/>
          </w:tcPr>
          <w:p w:rsidR="00965507" w:rsidRPr="00B77823" w:rsidRDefault="00CC3A35" w:rsidP="00CC3A35">
            <w:pPr>
              <w:jc w:val="center"/>
              <w:rPr>
                <w:rFonts w:eastAsiaTheme="minorHAnsi" w:cstheme="minorHAnsi"/>
                <w:color w:val="595959" w:themeColor="text1" w:themeTint="A6"/>
              </w:rPr>
            </w:pPr>
            <w:r>
              <w:rPr>
                <w:rFonts w:eastAsiaTheme="minorHAnsi" w:cstheme="minorHAnsi"/>
                <w:color w:val="595959" w:themeColor="text1" w:themeTint="A6"/>
              </w:rPr>
              <w:t>(5)</w:t>
            </w:r>
          </w:p>
        </w:tc>
        <w:tc>
          <w:tcPr>
            <w:tcW w:w="7237" w:type="dxa"/>
          </w:tcPr>
          <w:p w:rsidR="00130FF5" w:rsidRDefault="00130FF5"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As noted</w:t>
            </w:r>
            <w:r w:rsidR="008F2644">
              <w:rPr>
                <w:rFonts w:ascii="Calibri" w:eastAsiaTheme="minorHAnsi" w:hAnsi="Calibri" w:cs="Calibri"/>
                <w:color w:val="595959" w:themeColor="text1" w:themeTint="A6"/>
              </w:rPr>
              <w:t xml:space="preserve"> earlier</w:t>
            </w:r>
            <w:r>
              <w:rPr>
                <w:rFonts w:ascii="Calibri" w:eastAsiaTheme="minorHAnsi" w:hAnsi="Calibri" w:cs="Calibri"/>
                <w:color w:val="595959" w:themeColor="text1" w:themeTint="A6"/>
              </w:rPr>
              <w:t xml:space="preserve"> at point</w:t>
            </w:r>
            <w:r w:rsidR="008F2644">
              <w:rPr>
                <w:rFonts w:ascii="Calibri" w:eastAsiaTheme="minorHAnsi" w:hAnsi="Calibri" w:cs="Calibri"/>
                <w:color w:val="595959" w:themeColor="text1" w:themeTint="A6"/>
              </w:rPr>
              <w:t xml:space="preserve"> (3), we </w:t>
            </w:r>
            <w:r>
              <w:rPr>
                <w:rFonts w:ascii="Calibri" w:eastAsiaTheme="minorHAnsi" w:hAnsi="Calibri" w:cs="Calibri"/>
                <w:color w:val="595959" w:themeColor="text1" w:themeTint="A6"/>
              </w:rPr>
              <w:t>are</w:t>
            </w:r>
            <w:r w:rsidR="008F2644">
              <w:rPr>
                <w:rFonts w:ascii="Calibri" w:eastAsiaTheme="minorHAnsi" w:hAnsi="Calibri" w:cs="Calibri"/>
                <w:color w:val="595959" w:themeColor="text1" w:themeTint="A6"/>
              </w:rPr>
              <w:t xml:space="preserve"> concern</w:t>
            </w:r>
            <w:r>
              <w:rPr>
                <w:rFonts w:ascii="Calibri" w:eastAsiaTheme="minorHAnsi" w:hAnsi="Calibri" w:cs="Calibri"/>
                <w:color w:val="595959" w:themeColor="text1" w:themeTint="A6"/>
              </w:rPr>
              <w:t>ed</w:t>
            </w:r>
            <w:r w:rsidR="008F2644">
              <w:rPr>
                <w:rFonts w:ascii="Calibri" w:eastAsiaTheme="minorHAnsi" w:hAnsi="Calibri" w:cs="Calibri"/>
                <w:color w:val="595959" w:themeColor="text1" w:themeTint="A6"/>
              </w:rPr>
              <w:t xml:space="preserve"> about the costs that new entrants not </w:t>
            </w:r>
            <w:r>
              <w:rPr>
                <w:rFonts w:ascii="Calibri" w:eastAsiaTheme="minorHAnsi" w:hAnsi="Calibri" w:cs="Calibri"/>
                <w:color w:val="595959" w:themeColor="text1" w:themeTint="A6"/>
              </w:rPr>
              <w:t xml:space="preserve">already </w:t>
            </w:r>
            <w:r w:rsidR="008F2644">
              <w:rPr>
                <w:rFonts w:ascii="Calibri" w:eastAsiaTheme="minorHAnsi" w:hAnsi="Calibri" w:cs="Calibri"/>
                <w:color w:val="595959" w:themeColor="text1" w:themeTint="A6"/>
              </w:rPr>
              <w:t xml:space="preserve">registered </w:t>
            </w:r>
            <w:r>
              <w:rPr>
                <w:rFonts w:ascii="Calibri" w:eastAsiaTheme="minorHAnsi" w:hAnsi="Calibri" w:cs="Calibri"/>
                <w:color w:val="595959" w:themeColor="text1" w:themeTint="A6"/>
              </w:rPr>
              <w:t>as a financial service provider or licensed with the FMA do not</w:t>
            </w:r>
            <w:r w:rsidR="008F2644">
              <w:rPr>
                <w:rFonts w:ascii="Calibri" w:eastAsiaTheme="minorHAnsi" w:hAnsi="Calibri" w:cs="Calibri"/>
                <w:color w:val="595959" w:themeColor="text1" w:themeTint="A6"/>
              </w:rPr>
              <w:t xml:space="preserve"> have to carry.  </w:t>
            </w:r>
          </w:p>
          <w:p w:rsidR="00965507" w:rsidRDefault="008F2644"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We also have a concern</w:t>
            </w:r>
            <w:r w:rsidR="00130FF5">
              <w:rPr>
                <w:rFonts w:ascii="Calibri" w:eastAsiaTheme="minorHAnsi" w:hAnsi="Calibri" w:cs="Calibri"/>
                <w:color w:val="595959" w:themeColor="text1" w:themeTint="A6"/>
              </w:rPr>
              <w:t xml:space="preserve"> that</w:t>
            </w:r>
            <w:r>
              <w:rPr>
                <w:rFonts w:ascii="Calibri" w:eastAsiaTheme="minorHAnsi" w:hAnsi="Calibri" w:cs="Calibri"/>
                <w:color w:val="595959" w:themeColor="text1" w:themeTint="A6"/>
              </w:rPr>
              <w:t xml:space="preserve"> new entrants </w:t>
            </w:r>
            <w:r w:rsidR="00130FF5">
              <w:rPr>
                <w:rFonts w:ascii="Calibri" w:eastAsiaTheme="minorHAnsi" w:hAnsi="Calibri" w:cs="Calibri"/>
                <w:color w:val="595959" w:themeColor="text1" w:themeTint="A6"/>
              </w:rPr>
              <w:t>and registered financial advisers (‘RFAs’) using the exemption to offer robo-advice services have a greater potential to</w:t>
            </w:r>
            <w:r>
              <w:rPr>
                <w:rFonts w:ascii="Calibri" w:eastAsiaTheme="minorHAnsi" w:hAnsi="Calibri" w:cs="Calibri"/>
                <w:color w:val="595959" w:themeColor="text1" w:themeTint="A6"/>
              </w:rPr>
              <w:t xml:space="preserve"> cause consumer a</w:t>
            </w:r>
            <w:r w:rsidR="00130FF5">
              <w:rPr>
                <w:rFonts w:ascii="Calibri" w:eastAsiaTheme="minorHAnsi" w:hAnsi="Calibri" w:cs="Calibri"/>
                <w:color w:val="595959" w:themeColor="text1" w:themeTint="A6"/>
              </w:rPr>
              <w:t xml:space="preserve">nd industry reputational harm. Our reason is both cultural and standard-based. QFE advisers and AFAs have had minimum standards for years, and have had to develop a culture of adherence to those standards with close FMA oversight. New entrants and RFAs have not had to meet the same standards and develop that culture over the same period. </w:t>
            </w:r>
            <w:r w:rsidR="00130FF5">
              <w:rPr>
                <w:rFonts w:ascii="Calibri" w:eastAsiaTheme="minorHAnsi" w:hAnsi="Calibri" w:cs="Calibri"/>
                <w:color w:val="595959" w:themeColor="text1" w:themeTint="A6"/>
              </w:rPr>
              <w:t xml:space="preserve">Culture especially cannot be transplanted overnight and is </w:t>
            </w:r>
            <w:r w:rsidR="00130FF5">
              <w:rPr>
                <w:rFonts w:ascii="Calibri" w:eastAsiaTheme="minorHAnsi" w:hAnsi="Calibri" w:cs="Calibri"/>
                <w:color w:val="595959" w:themeColor="text1" w:themeTint="A6"/>
              </w:rPr>
              <w:t xml:space="preserve">far </w:t>
            </w:r>
            <w:r w:rsidR="00130FF5">
              <w:rPr>
                <w:rFonts w:ascii="Calibri" w:eastAsiaTheme="minorHAnsi" w:hAnsi="Calibri" w:cs="Calibri"/>
                <w:color w:val="595959" w:themeColor="text1" w:themeTint="A6"/>
              </w:rPr>
              <w:t xml:space="preserve">more important </w:t>
            </w:r>
            <w:r w:rsidR="00130FF5">
              <w:rPr>
                <w:rFonts w:ascii="Calibri" w:eastAsiaTheme="minorHAnsi" w:hAnsi="Calibri" w:cs="Calibri"/>
                <w:color w:val="595959" w:themeColor="text1" w:themeTint="A6"/>
              </w:rPr>
              <w:t xml:space="preserve">and effective as a regulator </w:t>
            </w:r>
            <w:r w:rsidR="00130FF5">
              <w:rPr>
                <w:rFonts w:ascii="Calibri" w:eastAsiaTheme="minorHAnsi" w:hAnsi="Calibri" w:cs="Calibri"/>
                <w:color w:val="595959" w:themeColor="text1" w:themeTint="A6"/>
              </w:rPr>
              <w:t>than</w:t>
            </w:r>
            <w:r w:rsidR="00130FF5">
              <w:rPr>
                <w:rFonts w:ascii="Calibri" w:eastAsiaTheme="minorHAnsi" w:hAnsi="Calibri" w:cs="Calibri"/>
                <w:color w:val="595959" w:themeColor="text1" w:themeTint="A6"/>
              </w:rPr>
              <w:t xml:space="preserve"> passive</w:t>
            </w:r>
            <w:r w:rsidR="00130FF5">
              <w:rPr>
                <w:rFonts w:ascii="Calibri" w:eastAsiaTheme="minorHAnsi" w:hAnsi="Calibri" w:cs="Calibri"/>
                <w:color w:val="595959" w:themeColor="text1" w:themeTint="A6"/>
              </w:rPr>
              <w:t xml:space="preserve"> standard setting and box ticking.</w:t>
            </w:r>
            <w:r w:rsidR="00130FF5">
              <w:rPr>
                <w:rFonts w:ascii="Calibri" w:eastAsiaTheme="minorHAnsi" w:hAnsi="Calibri" w:cs="Calibri"/>
                <w:color w:val="595959" w:themeColor="text1" w:themeTint="A6"/>
              </w:rPr>
              <w:t xml:space="preserve"> We propose, to address this risk, that the class exemption only applies to existing QFE advisers and AFAs, and that any new entrants or RFAs must be individually authorized and exempted by FMA so that FMA can be directly satisfied, on application, that the risk posed by that new entrant or RFA is acceptable. </w:t>
            </w:r>
          </w:p>
          <w:p w:rsidR="00130FF5" w:rsidRPr="000F4B2E" w:rsidRDefault="00130FF5" w:rsidP="002551A9">
            <w:pPr>
              <w:rPr>
                <w:rFonts w:ascii="Calibri" w:eastAsiaTheme="minorHAnsi" w:hAnsi="Calibri" w:cs="Calibri"/>
                <w:color w:val="595959" w:themeColor="text1" w:themeTint="A6"/>
              </w:rPr>
            </w:pPr>
          </w:p>
        </w:tc>
      </w:tr>
      <w:tr w:rsidR="00965507" w:rsidTr="002551A9">
        <w:tc>
          <w:tcPr>
            <w:tcW w:w="3262" w:type="dxa"/>
          </w:tcPr>
          <w:p w:rsidR="00965507" w:rsidRPr="00B77823" w:rsidRDefault="00CC3A35" w:rsidP="00CC3A35">
            <w:pPr>
              <w:jc w:val="center"/>
              <w:rPr>
                <w:rFonts w:eastAsiaTheme="minorHAnsi" w:cstheme="minorHAnsi"/>
                <w:color w:val="595959" w:themeColor="text1" w:themeTint="A6"/>
              </w:rPr>
            </w:pPr>
            <w:r>
              <w:rPr>
                <w:rFonts w:eastAsiaTheme="minorHAnsi" w:cstheme="minorHAnsi"/>
                <w:color w:val="595959" w:themeColor="text1" w:themeTint="A6"/>
              </w:rPr>
              <w:t>(6)</w:t>
            </w:r>
          </w:p>
        </w:tc>
        <w:tc>
          <w:tcPr>
            <w:tcW w:w="7237" w:type="dxa"/>
          </w:tcPr>
          <w:p w:rsidR="00130FF5" w:rsidRDefault="008F2644"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If no exemption is granted, then there is a serious risk that consumers and the sector will not benefit from</w:t>
            </w:r>
            <w:r w:rsidR="00130FF5">
              <w:rPr>
                <w:rFonts w:ascii="Calibri" w:eastAsiaTheme="minorHAnsi" w:hAnsi="Calibri" w:cs="Calibri"/>
                <w:color w:val="595959" w:themeColor="text1" w:themeTint="A6"/>
              </w:rPr>
              <w:t xml:space="preserve"> readily available technology. Insurer’s role</w:t>
            </w:r>
            <w:r>
              <w:rPr>
                <w:rFonts w:ascii="Calibri" w:eastAsiaTheme="minorHAnsi" w:hAnsi="Calibri" w:cs="Calibri"/>
                <w:color w:val="595959" w:themeColor="text1" w:themeTint="A6"/>
              </w:rPr>
              <w:t xml:space="preserve"> is to support c</w:t>
            </w:r>
            <w:r w:rsidR="00130FF5">
              <w:rPr>
                <w:rFonts w:ascii="Calibri" w:eastAsiaTheme="minorHAnsi" w:hAnsi="Calibri" w:cs="Calibri"/>
                <w:color w:val="595959" w:themeColor="text1" w:themeTint="A6"/>
              </w:rPr>
              <w:t xml:space="preserve">onsumers to manage their risks; regulators’ </w:t>
            </w:r>
            <w:r>
              <w:rPr>
                <w:rFonts w:ascii="Calibri" w:eastAsiaTheme="minorHAnsi" w:hAnsi="Calibri" w:cs="Calibri"/>
                <w:color w:val="595959" w:themeColor="text1" w:themeTint="A6"/>
              </w:rPr>
              <w:t xml:space="preserve">role </w:t>
            </w:r>
            <w:r w:rsidR="00130FF5">
              <w:rPr>
                <w:rFonts w:ascii="Calibri" w:eastAsiaTheme="minorHAnsi" w:hAnsi="Calibri" w:cs="Calibri"/>
                <w:color w:val="595959" w:themeColor="text1" w:themeTint="A6"/>
              </w:rPr>
              <w:t>is to support an efficient, effective and robust insurance market that consumers have confidence in. Regulators can</w:t>
            </w:r>
            <w:r>
              <w:rPr>
                <w:rFonts w:ascii="Calibri" w:eastAsiaTheme="minorHAnsi" w:hAnsi="Calibri" w:cs="Calibri"/>
                <w:color w:val="595959" w:themeColor="text1" w:themeTint="A6"/>
              </w:rPr>
              <w:t xml:space="preserve"> do just that by ensuring consumers receiv</w:t>
            </w:r>
            <w:r w:rsidR="00130FF5">
              <w:rPr>
                <w:rFonts w:ascii="Calibri" w:eastAsiaTheme="minorHAnsi" w:hAnsi="Calibri" w:cs="Calibri"/>
                <w:color w:val="595959" w:themeColor="text1" w:themeTint="A6"/>
              </w:rPr>
              <w:t>e the benefits and minimize the</w:t>
            </w:r>
            <w:r>
              <w:rPr>
                <w:rFonts w:ascii="Calibri" w:eastAsiaTheme="minorHAnsi" w:hAnsi="Calibri" w:cs="Calibri"/>
                <w:color w:val="595959" w:themeColor="text1" w:themeTint="A6"/>
              </w:rPr>
              <w:t xml:space="preserve"> harm</w:t>
            </w:r>
            <w:r w:rsidR="00130FF5">
              <w:rPr>
                <w:rFonts w:ascii="Calibri" w:eastAsiaTheme="minorHAnsi" w:hAnsi="Calibri" w:cs="Calibri"/>
                <w:color w:val="595959" w:themeColor="text1" w:themeTint="A6"/>
              </w:rPr>
              <w:t>s</w:t>
            </w:r>
            <w:r>
              <w:rPr>
                <w:rFonts w:ascii="Calibri" w:eastAsiaTheme="minorHAnsi" w:hAnsi="Calibri" w:cs="Calibri"/>
                <w:color w:val="595959" w:themeColor="text1" w:themeTint="A6"/>
              </w:rPr>
              <w:t xml:space="preserve"> from the action of providers</w:t>
            </w:r>
            <w:r w:rsidR="00130FF5">
              <w:rPr>
                <w:rFonts w:ascii="Calibri" w:eastAsiaTheme="minorHAnsi" w:hAnsi="Calibri" w:cs="Calibri"/>
                <w:color w:val="595959" w:themeColor="text1" w:themeTint="A6"/>
              </w:rPr>
              <w:t xml:space="preserve"> in the market</w:t>
            </w:r>
            <w:r>
              <w:rPr>
                <w:rFonts w:ascii="Calibri" w:eastAsiaTheme="minorHAnsi" w:hAnsi="Calibri" w:cs="Calibri"/>
                <w:color w:val="595959" w:themeColor="text1" w:themeTint="A6"/>
              </w:rPr>
              <w:t xml:space="preserve">.   </w:t>
            </w:r>
          </w:p>
          <w:p w:rsidR="00130FF5" w:rsidRPr="000F4B2E" w:rsidRDefault="00130FF5" w:rsidP="002551A9">
            <w:pPr>
              <w:rPr>
                <w:rFonts w:ascii="Calibri" w:eastAsiaTheme="minorHAnsi" w:hAnsi="Calibri" w:cs="Calibri"/>
                <w:color w:val="595959" w:themeColor="text1" w:themeTint="A6"/>
              </w:rPr>
            </w:pPr>
          </w:p>
        </w:tc>
      </w:tr>
      <w:tr w:rsidR="00965507" w:rsidTr="002551A9">
        <w:tc>
          <w:tcPr>
            <w:tcW w:w="3262" w:type="dxa"/>
          </w:tcPr>
          <w:p w:rsidR="00965507" w:rsidRPr="00CC3A35" w:rsidRDefault="00CC3A35" w:rsidP="00CC3A35">
            <w:pPr>
              <w:jc w:val="center"/>
              <w:rPr>
                <w:rFonts w:eastAsiaTheme="minorHAnsi" w:cstheme="minorHAnsi"/>
                <w:color w:val="595959" w:themeColor="text1" w:themeTint="A6"/>
              </w:rPr>
            </w:pPr>
            <w:r>
              <w:rPr>
                <w:rFonts w:eastAsiaTheme="minorHAnsi" w:cstheme="minorHAnsi"/>
                <w:color w:val="595959" w:themeColor="text1" w:themeTint="A6"/>
              </w:rPr>
              <w:t>(7)</w:t>
            </w:r>
          </w:p>
        </w:tc>
        <w:tc>
          <w:tcPr>
            <w:tcW w:w="7237" w:type="dxa"/>
          </w:tcPr>
          <w:p w:rsidR="00965507" w:rsidRPr="000F4B2E" w:rsidRDefault="00D838D7"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A</w:t>
            </w:r>
            <w:r w:rsidR="008F2644">
              <w:rPr>
                <w:rFonts w:ascii="Calibri" w:eastAsiaTheme="minorHAnsi" w:hAnsi="Calibri" w:cs="Calibri"/>
                <w:color w:val="595959" w:themeColor="text1" w:themeTint="A6"/>
              </w:rPr>
              <w:t>cross many sectors</w:t>
            </w:r>
            <w:r>
              <w:rPr>
                <w:rFonts w:ascii="Calibri" w:eastAsiaTheme="minorHAnsi" w:hAnsi="Calibri" w:cs="Calibri"/>
                <w:color w:val="595959" w:themeColor="text1" w:themeTint="A6"/>
              </w:rPr>
              <w:t>,</w:t>
            </w:r>
            <w:r w:rsidR="008F2644">
              <w:rPr>
                <w:rFonts w:ascii="Calibri" w:eastAsiaTheme="minorHAnsi" w:hAnsi="Calibri" w:cs="Calibri"/>
                <w:color w:val="595959" w:themeColor="text1" w:themeTint="A6"/>
              </w:rPr>
              <w:t xml:space="preserve"> there is a generation of people who access most </w:t>
            </w:r>
            <w:r>
              <w:rPr>
                <w:rFonts w:ascii="Calibri" w:eastAsiaTheme="minorHAnsi" w:hAnsi="Calibri" w:cs="Calibri"/>
                <w:color w:val="595959" w:themeColor="text1" w:themeTint="A6"/>
              </w:rPr>
              <w:t>i</w:t>
            </w:r>
            <w:r w:rsidR="008F2644">
              <w:rPr>
                <w:rFonts w:ascii="Calibri" w:eastAsiaTheme="minorHAnsi" w:hAnsi="Calibri" w:cs="Calibri"/>
                <w:color w:val="595959" w:themeColor="text1" w:themeTint="A6"/>
              </w:rPr>
              <w:t>f not all their services through on-line platforms. This is largely due to the speed and convenience t</w:t>
            </w:r>
            <w:r w:rsidR="001F3879">
              <w:rPr>
                <w:rFonts w:ascii="Calibri" w:eastAsiaTheme="minorHAnsi" w:hAnsi="Calibri" w:cs="Calibri"/>
                <w:color w:val="595959" w:themeColor="text1" w:themeTint="A6"/>
              </w:rPr>
              <w:t xml:space="preserve">hese platforms provide. </w:t>
            </w:r>
            <w:r w:rsidR="008F2644">
              <w:rPr>
                <w:rFonts w:ascii="Calibri" w:eastAsiaTheme="minorHAnsi" w:hAnsi="Calibri" w:cs="Calibri"/>
                <w:color w:val="595959" w:themeColor="text1" w:themeTint="A6"/>
              </w:rPr>
              <w:t>Robo</w:t>
            </w:r>
            <w:r w:rsidR="001F3879">
              <w:rPr>
                <w:rFonts w:ascii="Calibri" w:eastAsiaTheme="minorHAnsi" w:hAnsi="Calibri" w:cs="Calibri"/>
                <w:color w:val="595959" w:themeColor="text1" w:themeTint="A6"/>
              </w:rPr>
              <w:t>-</w:t>
            </w:r>
            <w:r w:rsidR="008F2644">
              <w:rPr>
                <w:rFonts w:ascii="Calibri" w:eastAsiaTheme="minorHAnsi" w:hAnsi="Calibri" w:cs="Calibri"/>
                <w:color w:val="595959" w:themeColor="text1" w:themeTint="A6"/>
              </w:rPr>
              <w:t xml:space="preserve">advice an enhancement of service delivery to consumers.  If this channel of advice is not open to consumers </w:t>
            </w:r>
            <w:r w:rsidR="00734FB4">
              <w:rPr>
                <w:rFonts w:ascii="Calibri" w:eastAsiaTheme="minorHAnsi" w:hAnsi="Calibri" w:cs="Calibri"/>
                <w:color w:val="595959" w:themeColor="text1" w:themeTint="A6"/>
              </w:rPr>
              <w:t>un</w:t>
            </w:r>
            <w:r w:rsidR="008F2644">
              <w:rPr>
                <w:rFonts w:ascii="Calibri" w:eastAsiaTheme="minorHAnsi" w:hAnsi="Calibri" w:cs="Calibri"/>
                <w:color w:val="595959" w:themeColor="text1" w:themeTint="A6"/>
              </w:rPr>
              <w:t>til legislation is passed, then it will effectively lock some people out of the advisory market because they do not seek se</w:t>
            </w:r>
            <w:r w:rsidR="00734FB4">
              <w:rPr>
                <w:rFonts w:ascii="Calibri" w:eastAsiaTheme="minorHAnsi" w:hAnsi="Calibri" w:cs="Calibri"/>
                <w:color w:val="595959" w:themeColor="text1" w:themeTint="A6"/>
              </w:rPr>
              <w:t xml:space="preserve">rvices through other channels. </w:t>
            </w:r>
            <w:r w:rsidR="008F2644">
              <w:rPr>
                <w:rFonts w:ascii="Calibri" w:eastAsiaTheme="minorHAnsi" w:hAnsi="Calibri" w:cs="Calibri"/>
                <w:color w:val="595959" w:themeColor="text1" w:themeTint="A6"/>
              </w:rPr>
              <w:t xml:space="preserve">This would seem to be counter to the thrust of what many government and private sector initiatives are </w:t>
            </w:r>
            <w:r w:rsidR="00734FB4">
              <w:rPr>
                <w:rFonts w:ascii="Calibri" w:eastAsiaTheme="minorHAnsi" w:hAnsi="Calibri" w:cs="Calibri"/>
                <w:color w:val="595959" w:themeColor="text1" w:themeTint="A6"/>
              </w:rPr>
              <w:t xml:space="preserve">currently </w:t>
            </w:r>
            <w:r w:rsidR="008F2644">
              <w:rPr>
                <w:rFonts w:ascii="Calibri" w:eastAsiaTheme="minorHAnsi" w:hAnsi="Calibri" w:cs="Calibri"/>
                <w:color w:val="595959" w:themeColor="text1" w:themeTint="A6"/>
              </w:rPr>
              <w:t xml:space="preserve">attempting to do – raise levels of financial capability.  </w:t>
            </w:r>
          </w:p>
        </w:tc>
      </w:tr>
      <w:tr w:rsidR="00965507" w:rsidTr="002551A9">
        <w:tc>
          <w:tcPr>
            <w:tcW w:w="3262" w:type="dxa"/>
          </w:tcPr>
          <w:p w:rsidR="00965507" w:rsidRPr="00CC3A35" w:rsidRDefault="00CC3A35" w:rsidP="00CC3A35">
            <w:pPr>
              <w:jc w:val="center"/>
              <w:rPr>
                <w:rFonts w:eastAsiaTheme="minorHAnsi" w:cstheme="minorHAnsi"/>
                <w:color w:val="595959" w:themeColor="text1" w:themeTint="A6"/>
              </w:rPr>
            </w:pPr>
            <w:r>
              <w:rPr>
                <w:rFonts w:eastAsiaTheme="minorHAnsi" w:cstheme="minorHAnsi"/>
                <w:color w:val="595959" w:themeColor="text1" w:themeTint="A6"/>
              </w:rPr>
              <w:lastRenderedPageBreak/>
              <w:t>(8)</w:t>
            </w:r>
          </w:p>
        </w:tc>
        <w:tc>
          <w:tcPr>
            <w:tcW w:w="7237" w:type="dxa"/>
          </w:tcPr>
          <w:p w:rsidR="00130FF5" w:rsidRDefault="00734FB4"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N/A. </w:t>
            </w:r>
            <w:r w:rsidR="00864CF3">
              <w:rPr>
                <w:rFonts w:ascii="Calibri" w:eastAsiaTheme="minorHAnsi" w:hAnsi="Calibri" w:cs="Calibri"/>
                <w:color w:val="595959" w:themeColor="text1" w:themeTint="A6"/>
              </w:rPr>
              <w:t xml:space="preserve">As an industry representative organization, we are not a financial advisory body.  </w:t>
            </w:r>
          </w:p>
          <w:p w:rsidR="00734FB4" w:rsidRPr="000F4B2E" w:rsidRDefault="00734FB4" w:rsidP="002551A9">
            <w:pPr>
              <w:rPr>
                <w:rFonts w:ascii="Calibri" w:eastAsiaTheme="minorHAnsi" w:hAnsi="Calibri" w:cs="Calibri"/>
                <w:color w:val="595959" w:themeColor="text1" w:themeTint="A6"/>
              </w:rPr>
            </w:pPr>
          </w:p>
        </w:tc>
      </w:tr>
      <w:tr w:rsidR="00CC3A35" w:rsidTr="002551A9">
        <w:tc>
          <w:tcPr>
            <w:tcW w:w="3262" w:type="dxa"/>
          </w:tcPr>
          <w:p w:rsidR="00CC3A35" w:rsidRDefault="00CC3A35" w:rsidP="00CC3A35">
            <w:pPr>
              <w:jc w:val="center"/>
              <w:rPr>
                <w:rFonts w:eastAsiaTheme="minorHAnsi" w:cstheme="minorHAnsi"/>
                <w:color w:val="595959" w:themeColor="text1" w:themeTint="A6"/>
              </w:rPr>
            </w:pPr>
            <w:r>
              <w:rPr>
                <w:rFonts w:eastAsiaTheme="minorHAnsi" w:cstheme="minorHAnsi"/>
                <w:color w:val="595959" w:themeColor="text1" w:themeTint="A6"/>
              </w:rPr>
              <w:t>(9)</w:t>
            </w:r>
          </w:p>
        </w:tc>
        <w:tc>
          <w:tcPr>
            <w:tcW w:w="7237" w:type="dxa"/>
          </w:tcPr>
          <w:p w:rsidR="00B13468" w:rsidRDefault="000321B9"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The</w:t>
            </w:r>
            <w:r w:rsidR="00864CF3">
              <w:rPr>
                <w:rFonts w:ascii="Calibri" w:eastAsiaTheme="minorHAnsi" w:hAnsi="Calibri" w:cs="Calibri"/>
                <w:color w:val="595959" w:themeColor="text1" w:themeTint="A6"/>
              </w:rPr>
              <w:t xml:space="preserve"> limits and conditions seem appropriate.  We are particularly supportive of having exemption conditions align with the Code Standard.</w:t>
            </w:r>
            <w:r w:rsidR="00DD6404">
              <w:rPr>
                <w:rFonts w:ascii="Calibri" w:eastAsiaTheme="minorHAnsi" w:hAnsi="Calibri" w:cs="Calibri"/>
                <w:color w:val="595959" w:themeColor="text1" w:themeTint="A6"/>
              </w:rPr>
              <w:t xml:space="preserve">  </w:t>
            </w:r>
          </w:p>
          <w:p w:rsidR="00CE2991" w:rsidRDefault="00DD6404"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However, we note some of the exemption conditions</w:t>
            </w:r>
            <w:r w:rsidR="00E45761">
              <w:rPr>
                <w:rFonts w:ascii="Calibri" w:eastAsiaTheme="minorHAnsi" w:hAnsi="Calibri" w:cs="Calibri"/>
                <w:color w:val="595959" w:themeColor="text1" w:themeTint="A6"/>
              </w:rPr>
              <w:t xml:space="preserve"> </w:t>
            </w:r>
            <w:r w:rsidR="00CE2991">
              <w:rPr>
                <w:rFonts w:ascii="Calibri" w:eastAsiaTheme="minorHAnsi" w:hAnsi="Calibri" w:cs="Calibri"/>
                <w:color w:val="595959" w:themeColor="text1" w:themeTint="A6"/>
              </w:rPr>
              <w:t>provide lower standards than are currently required for QFE advisers and AFAs. Aligning with point 5 above, in our view financial advisers adhering to existing standards should not be able to lower their standards by providing advice through a different distribution channel. We also appreciate the increase in standards for new entrants and RFAs that will likely not have been subject to those standards or that regulatory culture before. FMA will need to take greater care to ensure the risk of making this jump is not too great for new entrants and RFAs to ensure the standards and levels of compliance and protections offered to consumers do not differ between these adviser populations.</w:t>
            </w:r>
          </w:p>
          <w:p w:rsidR="00CE2991" w:rsidRDefault="00CE2991"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With this in mind, we propose that QFE advisers and AFAs are subject to a class exemption, but that RFAs and new market entrants should have to individually apply for exemption to FMA. This way, FMA can be better satisfied as to the nature and extent of the risk posed to the customer through a more hands-on assessment. We believe there needs to be a proactive approach to </w:t>
            </w:r>
            <w:r w:rsidR="00141AC7">
              <w:rPr>
                <w:rFonts w:ascii="Calibri" w:eastAsiaTheme="minorHAnsi" w:hAnsi="Calibri" w:cs="Calibri"/>
                <w:color w:val="595959" w:themeColor="text1" w:themeTint="A6"/>
              </w:rPr>
              <w:t xml:space="preserve">fostering good industry standards, rather than a passive box-ticking exercise which could lead to poorer consumer outcomes. A proactive approach for those entities who have had less to do directly with FMA in the past (RFAs and new entrants) would lead to better consumer outcomes.  </w:t>
            </w:r>
          </w:p>
          <w:p w:rsidR="00102717" w:rsidRPr="001743C0" w:rsidRDefault="00E867AD" w:rsidP="00102717">
            <w:r>
              <w:rPr>
                <w:rFonts w:ascii="Calibri" w:eastAsiaTheme="minorHAnsi" w:hAnsi="Calibri" w:cs="Calibri"/>
                <w:color w:val="595959" w:themeColor="text1" w:themeTint="A6"/>
              </w:rPr>
              <w:t>We note t</w:t>
            </w:r>
            <w:r w:rsidR="00102717">
              <w:rPr>
                <w:rFonts w:ascii="Calibri" w:eastAsiaTheme="minorHAnsi" w:hAnsi="Calibri" w:cs="Calibri"/>
                <w:color w:val="595959" w:themeColor="text1" w:themeTint="A6"/>
              </w:rPr>
              <w:t xml:space="preserve">he European Commission’s </w:t>
            </w:r>
            <w:r w:rsidR="00102717">
              <w:t>core principles on regulatory approaches are technology-neutral (ensuring the same activity is regulated in the same way regardless of how it is delivered), proportional (reflecting business model, size, systemic significance, complexity and cross-border activity) and integrity- enhancing (promote market transparency for consumer benefit without creating unwarranted risk (e.g. market abuse).</w:t>
            </w:r>
          </w:p>
          <w:p w:rsidR="00102717" w:rsidRPr="000F4B2E" w:rsidRDefault="00102717" w:rsidP="002551A9">
            <w:pPr>
              <w:rPr>
                <w:rFonts w:ascii="Calibri" w:eastAsiaTheme="minorHAnsi" w:hAnsi="Calibri" w:cs="Calibri"/>
                <w:color w:val="595959" w:themeColor="text1" w:themeTint="A6"/>
              </w:rPr>
            </w:pPr>
          </w:p>
        </w:tc>
      </w:tr>
      <w:tr w:rsidR="00CC3A35" w:rsidTr="002551A9">
        <w:tc>
          <w:tcPr>
            <w:tcW w:w="3262" w:type="dxa"/>
          </w:tcPr>
          <w:p w:rsidR="00CC3A35" w:rsidRDefault="00CC3A35" w:rsidP="00CC3A35">
            <w:pPr>
              <w:jc w:val="center"/>
              <w:rPr>
                <w:rFonts w:eastAsiaTheme="minorHAnsi" w:cstheme="minorHAnsi"/>
                <w:color w:val="595959" w:themeColor="text1" w:themeTint="A6"/>
              </w:rPr>
            </w:pPr>
            <w:r>
              <w:rPr>
                <w:rFonts w:eastAsiaTheme="minorHAnsi" w:cstheme="minorHAnsi"/>
                <w:color w:val="595959" w:themeColor="text1" w:themeTint="A6"/>
              </w:rPr>
              <w:t>(10)</w:t>
            </w:r>
          </w:p>
        </w:tc>
        <w:tc>
          <w:tcPr>
            <w:tcW w:w="7237" w:type="dxa"/>
          </w:tcPr>
          <w:p w:rsidR="00CC3A35" w:rsidRDefault="00734FB4"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N/A. We are not a business providing r</w:t>
            </w:r>
            <w:r w:rsidR="00E75CDB">
              <w:rPr>
                <w:rFonts w:ascii="Calibri" w:eastAsiaTheme="minorHAnsi" w:hAnsi="Calibri" w:cs="Calibri"/>
                <w:color w:val="595959" w:themeColor="text1" w:themeTint="A6"/>
              </w:rPr>
              <w:t>obo</w:t>
            </w:r>
            <w:r>
              <w:rPr>
                <w:rFonts w:ascii="Calibri" w:eastAsiaTheme="minorHAnsi" w:hAnsi="Calibri" w:cs="Calibri"/>
                <w:color w:val="595959" w:themeColor="text1" w:themeTint="A6"/>
              </w:rPr>
              <w:t>-</w:t>
            </w:r>
            <w:r w:rsidR="00E75CDB">
              <w:rPr>
                <w:rFonts w:ascii="Calibri" w:eastAsiaTheme="minorHAnsi" w:hAnsi="Calibri" w:cs="Calibri"/>
                <w:color w:val="595959" w:themeColor="text1" w:themeTint="A6"/>
              </w:rPr>
              <w:t>advice.</w:t>
            </w:r>
          </w:p>
          <w:p w:rsidR="00734FB4" w:rsidRPr="000F4B2E" w:rsidRDefault="00734FB4" w:rsidP="002551A9">
            <w:pPr>
              <w:rPr>
                <w:rFonts w:ascii="Calibri" w:eastAsiaTheme="minorHAnsi" w:hAnsi="Calibri" w:cs="Calibri"/>
                <w:color w:val="595959" w:themeColor="text1" w:themeTint="A6"/>
              </w:rPr>
            </w:pPr>
          </w:p>
        </w:tc>
      </w:tr>
      <w:tr w:rsidR="00CC3A35" w:rsidTr="002551A9">
        <w:tc>
          <w:tcPr>
            <w:tcW w:w="3262" w:type="dxa"/>
          </w:tcPr>
          <w:p w:rsidR="00CC3A35" w:rsidRDefault="00CC3A35" w:rsidP="00CC3A35">
            <w:pPr>
              <w:jc w:val="center"/>
              <w:rPr>
                <w:rFonts w:eastAsiaTheme="minorHAnsi" w:cstheme="minorHAnsi"/>
                <w:color w:val="595959" w:themeColor="text1" w:themeTint="A6"/>
              </w:rPr>
            </w:pPr>
            <w:r>
              <w:rPr>
                <w:rFonts w:eastAsiaTheme="minorHAnsi" w:cstheme="minorHAnsi"/>
                <w:color w:val="595959" w:themeColor="text1" w:themeTint="A6"/>
              </w:rPr>
              <w:t>(11)</w:t>
            </w:r>
          </w:p>
        </w:tc>
        <w:tc>
          <w:tcPr>
            <w:tcW w:w="7237" w:type="dxa"/>
          </w:tcPr>
          <w:p w:rsidR="00CC3A35" w:rsidRDefault="00734FB4"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N/A. W</w:t>
            </w:r>
            <w:r w:rsidR="00E75CDB">
              <w:rPr>
                <w:rFonts w:ascii="Calibri" w:eastAsiaTheme="minorHAnsi" w:hAnsi="Calibri" w:cs="Calibri"/>
                <w:color w:val="595959" w:themeColor="text1" w:themeTint="A6"/>
              </w:rPr>
              <w:t>e are o</w:t>
            </w:r>
            <w:r>
              <w:rPr>
                <w:rFonts w:ascii="Calibri" w:eastAsiaTheme="minorHAnsi" w:hAnsi="Calibri" w:cs="Calibri"/>
                <w:color w:val="595959" w:themeColor="text1" w:themeTint="A6"/>
              </w:rPr>
              <w:t>nly submitting with respect to general i</w:t>
            </w:r>
            <w:r w:rsidR="00E75CDB">
              <w:rPr>
                <w:rFonts w:ascii="Calibri" w:eastAsiaTheme="minorHAnsi" w:hAnsi="Calibri" w:cs="Calibri"/>
                <w:color w:val="595959" w:themeColor="text1" w:themeTint="A6"/>
              </w:rPr>
              <w:t xml:space="preserve">nsurance advise as proposed by the FMA. </w:t>
            </w:r>
          </w:p>
          <w:p w:rsidR="00734FB4" w:rsidRPr="000F4B2E" w:rsidRDefault="00734FB4" w:rsidP="002551A9">
            <w:pPr>
              <w:rPr>
                <w:rFonts w:ascii="Calibri" w:eastAsiaTheme="minorHAnsi" w:hAnsi="Calibri" w:cs="Calibri"/>
                <w:color w:val="595959" w:themeColor="text1" w:themeTint="A6"/>
              </w:rPr>
            </w:pPr>
          </w:p>
        </w:tc>
      </w:tr>
      <w:tr w:rsidR="00CC3A35" w:rsidTr="002551A9">
        <w:tc>
          <w:tcPr>
            <w:tcW w:w="3262" w:type="dxa"/>
          </w:tcPr>
          <w:p w:rsidR="00CC3A35" w:rsidRDefault="00CC3A35" w:rsidP="00CC3A35">
            <w:pPr>
              <w:jc w:val="center"/>
              <w:rPr>
                <w:rFonts w:eastAsiaTheme="minorHAnsi" w:cstheme="minorHAnsi"/>
                <w:color w:val="595959" w:themeColor="text1" w:themeTint="A6"/>
              </w:rPr>
            </w:pPr>
            <w:r>
              <w:rPr>
                <w:rFonts w:eastAsiaTheme="minorHAnsi" w:cstheme="minorHAnsi"/>
                <w:color w:val="595959" w:themeColor="text1" w:themeTint="A6"/>
              </w:rPr>
              <w:t>(12)</w:t>
            </w:r>
          </w:p>
        </w:tc>
        <w:tc>
          <w:tcPr>
            <w:tcW w:w="7237" w:type="dxa"/>
          </w:tcPr>
          <w:p w:rsidR="00CC3A35" w:rsidRDefault="00734FB4" w:rsidP="002551A9">
            <w:pPr>
              <w:rPr>
                <w:rFonts w:ascii="Calibri" w:eastAsiaTheme="minorHAnsi" w:hAnsi="Calibri" w:cs="Calibri"/>
                <w:color w:val="FF0000"/>
              </w:rPr>
            </w:pPr>
            <w:r>
              <w:rPr>
                <w:rFonts w:ascii="Calibri" w:eastAsiaTheme="minorHAnsi" w:hAnsi="Calibri" w:cs="Calibri"/>
                <w:color w:val="595959" w:themeColor="text1" w:themeTint="A6"/>
              </w:rPr>
              <w:t>We support that all general insurance products should be considered for exemption.</w:t>
            </w:r>
          </w:p>
          <w:p w:rsidR="00734FB4" w:rsidRPr="000F4B2E" w:rsidRDefault="00734FB4" w:rsidP="002551A9">
            <w:pPr>
              <w:rPr>
                <w:rFonts w:ascii="Calibri" w:eastAsiaTheme="minorHAnsi" w:hAnsi="Calibri" w:cs="Calibri"/>
                <w:color w:val="595959" w:themeColor="text1" w:themeTint="A6"/>
              </w:rPr>
            </w:pPr>
          </w:p>
        </w:tc>
      </w:tr>
      <w:tr w:rsidR="00E75CDB" w:rsidTr="002551A9">
        <w:tc>
          <w:tcPr>
            <w:tcW w:w="3262" w:type="dxa"/>
          </w:tcPr>
          <w:p w:rsidR="00E75CDB" w:rsidRPr="0056190C" w:rsidRDefault="00E75CDB"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(13)</w:t>
            </w:r>
          </w:p>
        </w:tc>
        <w:tc>
          <w:tcPr>
            <w:tcW w:w="7237" w:type="dxa"/>
          </w:tcPr>
          <w:p w:rsidR="00E75CDB" w:rsidRDefault="00734FB4"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N/A. </w:t>
            </w:r>
            <w:r w:rsidR="00E75CDB">
              <w:rPr>
                <w:rFonts w:ascii="Calibri" w:eastAsiaTheme="minorHAnsi" w:hAnsi="Calibri" w:cs="Calibri"/>
                <w:color w:val="595959" w:themeColor="text1" w:themeTint="A6"/>
              </w:rPr>
              <w:t>We have no view on whether Personal Insurance products should be included as our submis</w:t>
            </w:r>
            <w:r>
              <w:rPr>
                <w:rFonts w:ascii="Calibri" w:eastAsiaTheme="minorHAnsi" w:hAnsi="Calibri" w:cs="Calibri"/>
                <w:color w:val="595959" w:themeColor="text1" w:themeTint="A6"/>
              </w:rPr>
              <w:t>sion focuses solely on general i</w:t>
            </w:r>
            <w:r w:rsidR="00E75CDB">
              <w:rPr>
                <w:rFonts w:ascii="Calibri" w:eastAsiaTheme="minorHAnsi" w:hAnsi="Calibri" w:cs="Calibri"/>
                <w:color w:val="595959" w:themeColor="text1" w:themeTint="A6"/>
              </w:rPr>
              <w:t>nsurance</w:t>
            </w:r>
            <w:r>
              <w:rPr>
                <w:rFonts w:ascii="Calibri" w:eastAsiaTheme="minorHAnsi" w:hAnsi="Calibri" w:cs="Calibri"/>
                <w:color w:val="595959" w:themeColor="text1" w:themeTint="A6"/>
              </w:rPr>
              <w:t xml:space="preserve"> products.</w:t>
            </w:r>
          </w:p>
          <w:p w:rsidR="00734FB4" w:rsidRPr="000F4B2E" w:rsidRDefault="00734FB4" w:rsidP="002551A9">
            <w:pPr>
              <w:rPr>
                <w:rFonts w:ascii="Calibri" w:eastAsiaTheme="minorHAnsi" w:hAnsi="Calibri" w:cs="Calibri"/>
                <w:color w:val="595959" w:themeColor="text1" w:themeTint="A6"/>
              </w:rPr>
            </w:pPr>
          </w:p>
        </w:tc>
      </w:tr>
      <w:tr w:rsidR="00E75CDB" w:rsidTr="002551A9">
        <w:tc>
          <w:tcPr>
            <w:tcW w:w="3262" w:type="dxa"/>
          </w:tcPr>
          <w:p w:rsidR="00E75CDB" w:rsidRPr="0056190C" w:rsidRDefault="00E75CDB"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(14)</w:t>
            </w:r>
          </w:p>
        </w:tc>
        <w:tc>
          <w:tcPr>
            <w:tcW w:w="7237" w:type="dxa"/>
          </w:tcPr>
          <w:p w:rsidR="00E75CDB" w:rsidRDefault="00E75CDB"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We </w:t>
            </w:r>
            <w:r w:rsidR="00734FB4">
              <w:rPr>
                <w:rFonts w:ascii="Calibri" w:eastAsiaTheme="minorHAnsi" w:hAnsi="Calibri" w:cs="Calibri"/>
                <w:color w:val="595959" w:themeColor="text1" w:themeTint="A6"/>
              </w:rPr>
              <w:t>disagree with a</w:t>
            </w:r>
            <w:r>
              <w:rPr>
                <w:rFonts w:ascii="Calibri" w:eastAsiaTheme="minorHAnsi" w:hAnsi="Calibri" w:cs="Calibri"/>
                <w:color w:val="595959" w:themeColor="text1" w:themeTint="A6"/>
              </w:rPr>
              <w:t xml:space="preserve"> value cap or </w:t>
            </w:r>
            <w:r w:rsidR="00734FB4">
              <w:rPr>
                <w:rFonts w:ascii="Calibri" w:eastAsiaTheme="minorHAnsi" w:hAnsi="Calibri" w:cs="Calibri"/>
                <w:color w:val="595959" w:themeColor="text1" w:themeTint="A6"/>
              </w:rPr>
              <w:t xml:space="preserve">limit on </w:t>
            </w:r>
            <w:r>
              <w:rPr>
                <w:rFonts w:ascii="Calibri" w:eastAsiaTheme="minorHAnsi" w:hAnsi="Calibri" w:cs="Calibri"/>
                <w:color w:val="595959" w:themeColor="text1" w:themeTint="A6"/>
              </w:rPr>
              <w:t xml:space="preserve">duration to general Insurance products. </w:t>
            </w:r>
            <w:r w:rsidR="00734FB4">
              <w:rPr>
                <w:rFonts w:ascii="Calibri" w:eastAsiaTheme="minorHAnsi" w:hAnsi="Calibri" w:cs="Calibri"/>
                <w:color w:val="595959" w:themeColor="text1" w:themeTint="A6"/>
              </w:rPr>
              <w:t xml:space="preserve">On duration, general insurance products are almost always provided on an annual renewal basis with liberal cancellation provisions for the customer. This makes general insurance </w:t>
            </w:r>
            <w:r>
              <w:rPr>
                <w:rFonts w:ascii="Calibri" w:eastAsiaTheme="minorHAnsi" w:hAnsi="Calibri" w:cs="Calibri"/>
                <w:color w:val="595959" w:themeColor="text1" w:themeTint="A6"/>
              </w:rPr>
              <w:lastRenderedPageBreak/>
              <w:t>unlike many of the invest</w:t>
            </w:r>
            <w:r w:rsidR="00734FB4">
              <w:rPr>
                <w:rFonts w:ascii="Calibri" w:eastAsiaTheme="minorHAnsi" w:hAnsi="Calibri" w:cs="Calibri"/>
                <w:color w:val="595959" w:themeColor="text1" w:themeTint="A6"/>
              </w:rPr>
              <w:t>ment</w:t>
            </w:r>
            <w:r>
              <w:rPr>
                <w:rFonts w:ascii="Calibri" w:eastAsiaTheme="minorHAnsi" w:hAnsi="Calibri" w:cs="Calibri"/>
                <w:color w:val="595959" w:themeColor="text1" w:themeTint="A6"/>
              </w:rPr>
              <w:t xml:space="preserve"> and savings products that are being considered for exemption.</w:t>
            </w:r>
          </w:p>
          <w:p w:rsidR="00734FB4" w:rsidRDefault="00734FB4" w:rsidP="002551A9">
            <w:pPr>
              <w:rPr>
                <w:rFonts w:ascii="Calibri" w:eastAsiaTheme="minorHAnsi" w:hAnsi="Calibri" w:cs="Calibri"/>
                <w:color w:val="595959" w:themeColor="text1" w:themeTint="A6"/>
              </w:rPr>
            </w:pPr>
            <w:r>
              <w:rPr>
                <w:rFonts w:ascii="Calibri" w:eastAsiaTheme="minorHAnsi" w:hAnsi="Calibri" w:cs="Calibri"/>
                <w:color w:val="595959" w:themeColor="text1" w:themeTint="A6"/>
              </w:rPr>
              <w:t>We also note placing limits would unduly prohibit the provisions of advice to areas of the market that are already underserved and in need of greater accessibility at low cost for consumers, particularly house insurance and small-medium business insurance.</w:t>
            </w:r>
          </w:p>
          <w:p w:rsidR="00734FB4" w:rsidRPr="000F4B2E" w:rsidRDefault="00734FB4" w:rsidP="002551A9">
            <w:pPr>
              <w:rPr>
                <w:rFonts w:ascii="Calibri" w:eastAsiaTheme="minorHAnsi" w:hAnsi="Calibri" w:cs="Calibri"/>
                <w:color w:val="595959" w:themeColor="text1" w:themeTint="A6"/>
              </w:rPr>
            </w:pPr>
          </w:p>
        </w:tc>
      </w:tr>
      <w:tr w:rsidR="00965507" w:rsidTr="002551A9">
        <w:tc>
          <w:tcPr>
            <w:tcW w:w="3262" w:type="dxa"/>
          </w:tcPr>
          <w:p w:rsidR="00965507" w:rsidRPr="0056190C" w:rsidRDefault="00CC3A35"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lastRenderedPageBreak/>
              <w:t>(1</w:t>
            </w:r>
            <w:r w:rsidR="00E75CDB" w:rsidRPr="0056190C">
              <w:rPr>
                <w:rFonts w:ascii="Calibri" w:eastAsiaTheme="minorHAnsi" w:hAnsi="Calibri" w:cs="Calibri"/>
                <w:color w:val="595959" w:themeColor="text1" w:themeTint="A6"/>
              </w:rPr>
              <w:t>5</w:t>
            </w:r>
            <w:r w:rsidRPr="0056190C">
              <w:rPr>
                <w:rFonts w:ascii="Calibri" w:eastAsiaTheme="minorHAnsi" w:hAnsi="Calibri" w:cs="Calibri"/>
                <w:color w:val="595959" w:themeColor="text1" w:themeTint="A6"/>
              </w:rPr>
              <w:t>)</w:t>
            </w:r>
          </w:p>
        </w:tc>
        <w:tc>
          <w:tcPr>
            <w:tcW w:w="7237" w:type="dxa"/>
          </w:tcPr>
          <w:p w:rsidR="00965507" w:rsidRDefault="00734FB4"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N/A. </w:t>
            </w:r>
          </w:p>
          <w:p w:rsidR="00E867AD" w:rsidRPr="000F4B2E" w:rsidRDefault="00E867AD" w:rsidP="0056190C">
            <w:pPr>
              <w:rPr>
                <w:rFonts w:ascii="Calibri" w:eastAsiaTheme="minorHAnsi" w:hAnsi="Calibri" w:cs="Calibri"/>
                <w:color w:val="595959" w:themeColor="text1" w:themeTint="A6"/>
              </w:rPr>
            </w:pPr>
          </w:p>
        </w:tc>
      </w:tr>
      <w:tr w:rsidR="00965507" w:rsidTr="002551A9">
        <w:tc>
          <w:tcPr>
            <w:tcW w:w="3262" w:type="dxa"/>
          </w:tcPr>
          <w:p w:rsidR="00965507" w:rsidRPr="0056190C" w:rsidRDefault="00CC3A35"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(1</w:t>
            </w:r>
            <w:r w:rsidR="00E75CDB" w:rsidRPr="0056190C">
              <w:rPr>
                <w:rFonts w:ascii="Calibri" w:eastAsiaTheme="minorHAnsi" w:hAnsi="Calibri" w:cs="Calibri"/>
                <w:color w:val="595959" w:themeColor="text1" w:themeTint="A6"/>
              </w:rPr>
              <w:t>6</w:t>
            </w:r>
            <w:r w:rsidRPr="0056190C">
              <w:rPr>
                <w:rFonts w:ascii="Calibri" w:eastAsiaTheme="minorHAnsi" w:hAnsi="Calibri" w:cs="Calibri"/>
                <w:color w:val="595959" w:themeColor="text1" w:themeTint="A6"/>
              </w:rPr>
              <w:t>)</w:t>
            </w:r>
          </w:p>
        </w:tc>
        <w:tc>
          <w:tcPr>
            <w:tcW w:w="7237" w:type="dxa"/>
          </w:tcPr>
          <w:p w:rsidR="00965507" w:rsidRDefault="00E867AD"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N/A to general insurance. </w:t>
            </w:r>
          </w:p>
          <w:p w:rsidR="00E867AD" w:rsidRPr="000F4B2E" w:rsidRDefault="00E867AD" w:rsidP="0056190C">
            <w:pPr>
              <w:rPr>
                <w:rFonts w:ascii="Calibri" w:eastAsiaTheme="minorHAnsi" w:hAnsi="Calibri" w:cs="Calibri"/>
                <w:color w:val="595959" w:themeColor="text1" w:themeTint="A6"/>
              </w:rPr>
            </w:pPr>
          </w:p>
        </w:tc>
      </w:tr>
      <w:tr w:rsidR="00965507" w:rsidTr="002551A9">
        <w:tc>
          <w:tcPr>
            <w:tcW w:w="3262" w:type="dxa"/>
          </w:tcPr>
          <w:p w:rsidR="00965507" w:rsidRPr="0056190C" w:rsidRDefault="00CC3A35"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(1</w:t>
            </w:r>
            <w:r w:rsidR="00E75CDB" w:rsidRPr="0056190C">
              <w:rPr>
                <w:rFonts w:ascii="Calibri" w:eastAsiaTheme="minorHAnsi" w:hAnsi="Calibri" w:cs="Calibri"/>
                <w:color w:val="595959" w:themeColor="text1" w:themeTint="A6"/>
              </w:rPr>
              <w:t>7</w:t>
            </w:r>
            <w:r w:rsidRPr="0056190C">
              <w:rPr>
                <w:rFonts w:ascii="Calibri" w:eastAsiaTheme="minorHAnsi" w:hAnsi="Calibri" w:cs="Calibri"/>
                <w:color w:val="595959" w:themeColor="text1" w:themeTint="A6"/>
              </w:rPr>
              <w:t>)</w:t>
            </w:r>
          </w:p>
        </w:tc>
        <w:tc>
          <w:tcPr>
            <w:tcW w:w="7237" w:type="dxa"/>
          </w:tcPr>
          <w:p w:rsidR="00965507" w:rsidRDefault="00E867AD"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Yes. S</w:t>
            </w:r>
            <w:r w:rsidR="0056190C" w:rsidRPr="0056190C">
              <w:rPr>
                <w:rFonts w:ascii="Calibri" w:eastAsiaTheme="minorHAnsi" w:hAnsi="Calibri" w:cs="Calibri"/>
                <w:color w:val="595959" w:themeColor="text1" w:themeTint="A6"/>
              </w:rPr>
              <w:t>tandardization will lead to clearer guidance and better compliance which is important at this stage of development of this market</w:t>
            </w:r>
            <w:r>
              <w:rPr>
                <w:rFonts w:ascii="Calibri" w:eastAsiaTheme="minorHAnsi" w:hAnsi="Calibri" w:cs="Calibri"/>
                <w:color w:val="595959" w:themeColor="text1" w:themeTint="A6"/>
              </w:rPr>
              <w:t xml:space="preserve">. It will reduce the risk of misperception and misinterpretation by providers. </w:t>
            </w:r>
          </w:p>
          <w:p w:rsidR="00E867AD" w:rsidRPr="0056190C" w:rsidRDefault="00E867AD" w:rsidP="0056190C">
            <w:pPr>
              <w:rPr>
                <w:rFonts w:ascii="Calibri" w:eastAsiaTheme="minorHAnsi" w:hAnsi="Calibri" w:cs="Calibri"/>
                <w:color w:val="595959" w:themeColor="text1" w:themeTint="A6"/>
              </w:rPr>
            </w:pPr>
          </w:p>
        </w:tc>
      </w:tr>
      <w:tr w:rsidR="00CC3A35" w:rsidTr="002551A9">
        <w:tc>
          <w:tcPr>
            <w:tcW w:w="3262" w:type="dxa"/>
          </w:tcPr>
          <w:p w:rsidR="00CC3A35" w:rsidRPr="0056190C" w:rsidRDefault="00E75CDB"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(18)</w:t>
            </w:r>
          </w:p>
        </w:tc>
        <w:tc>
          <w:tcPr>
            <w:tcW w:w="7237" w:type="dxa"/>
          </w:tcPr>
          <w:p w:rsidR="00CC3A35" w:rsidRDefault="00E867AD"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Yes. Aside of the basic disclosure statement above, providers should have flexibility to experiment with the most effective way to disclosure the required information to consumers. Effective disclosure has been a difficult topic for many years as we understand there are limitations on consumers reading and fully understanding what is disclosed to them by financial service providers. Allowing the market through enhanced technology to experiment and find the most effective way to disclose information for consumer to acknowledge and understand will lead to more informed consumers and better market outcomes. </w:t>
            </w:r>
          </w:p>
          <w:p w:rsidR="00E867AD" w:rsidRPr="0056190C" w:rsidRDefault="00E867AD" w:rsidP="0056190C">
            <w:pPr>
              <w:rPr>
                <w:rFonts w:ascii="Calibri" w:eastAsiaTheme="minorHAnsi" w:hAnsi="Calibri" w:cs="Calibri"/>
                <w:color w:val="595959" w:themeColor="text1" w:themeTint="A6"/>
              </w:rPr>
            </w:pPr>
          </w:p>
        </w:tc>
      </w:tr>
      <w:tr w:rsidR="00CC3A35" w:rsidTr="002551A9">
        <w:tc>
          <w:tcPr>
            <w:tcW w:w="3262" w:type="dxa"/>
          </w:tcPr>
          <w:p w:rsidR="00CC3A35" w:rsidRPr="0056190C" w:rsidRDefault="00E75CDB"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(19)</w:t>
            </w:r>
          </w:p>
        </w:tc>
        <w:tc>
          <w:tcPr>
            <w:tcW w:w="7237" w:type="dxa"/>
          </w:tcPr>
          <w:p w:rsidR="00CC3A35" w:rsidRDefault="0056190C"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Yes, and this could be a simple tick-box confirmation which does not place onerous conditions on provider nor a barrier to use for consumers.</w:t>
            </w:r>
          </w:p>
          <w:p w:rsidR="00E867AD" w:rsidRPr="0056190C" w:rsidRDefault="00E867AD" w:rsidP="0056190C">
            <w:pPr>
              <w:rPr>
                <w:rFonts w:ascii="Calibri" w:eastAsiaTheme="minorHAnsi" w:hAnsi="Calibri" w:cs="Calibri"/>
                <w:color w:val="595959" w:themeColor="text1" w:themeTint="A6"/>
              </w:rPr>
            </w:pPr>
          </w:p>
        </w:tc>
      </w:tr>
      <w:tr w:rsidR="00CC3A35" w:rsidTr="002551A9">
        <w:tc>
          <w:tcPr>
            <w:tcW w:w="3262" w:type="dxa"/>
          </w:tcPr>
          <w:p w:rsidR="00CC3A35" w:rsidRPr="0056190C" w:rsidRDefault="00E75CDB"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(20)</w:t>
            </w:r>
          </w:p>
        </w:tc>
        <w:tc>
          <w:tcPr>
            <w:tcW w:w="7237" w:type="dxa"/>
          </w:tcPr>
          <w:p w:rsidR="00CC3A35" w:rsidRDefault="000321B9"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T</w:t>
            </w:r>
            <w:r w:rsidR="0056190C">
              <w:rPr>
                <w:rFonts w:ascii="Calibri" w:eastAsiaTheme="minorHAnsi" w:hAnsi="Calibri" w:cs="Calibri"/>
                <w:color w:val="595959" w:themeColor="text1" w:themeTint="A6"/>
              </w:rPr>
              <w:t>he aspects where we have reservations are noted above</w:t>
            </w:r>
            <w:r>
              <w:rPr>
                <w:rFonts w:ascii="Calibri" w:eastAsiaTheme="minorHAnsi" w:hAnsi="Calibri" w:cs="Calibri"/>
                <w:color w:val="595959" w:themeColor="text1" w:themeTint="A6"/>
              </w:rPr>
              <w:t xml:space="preserve"> at</w:t>
            </w:r>
            <w:r w:rsidR="0056190C">
              <w:rPr>
                <w:rFonts w:ascii="Calibri" w:eastAsiaTheme="minorHAnsi" w:hAnsi="Calibri" w:cs="Calibri"/>
                <w:color w:val="595959" w:themeColor="text1" w:themeTint="A6"/>
              </w:rPr>
              <w:t xml:space="preserve"> (</w:t>
            </w:r>
            <w:r w:rsidR="00E867AD">
              <w:rPr>
                <w:rFonts w:ascii="Calibri" w:eastAsiaTheme="minorHAnsi" w:hAnsi="Calibri" w:cs="Calibri"/>
                <w:color w:val="595959" w:themeColor="text1" w:themeTint="A6"/>
              </w:rPr>
              <w:t>5) and (</w:t>
            </w:r>
            <w:r w:rsidR="0056190C">
              <w:rPr>
                <w:rFonts w:ascii="Calibri" w:eastAsiaTheme="minorHAnsi" w:hAnsi="Calibri" w:cs="Calibri"/>
                <w:color w:val="595959" w:themeColor="text1" w:themeTint="A6"/>
              </w:rPr>
              <w:t>9)</w:t>
            </w:r>
            <w:r>
              <w:rPr>
                <w:rFonts w:ascii="Calibri" w:eastAsiaTheme="minorHAnsi" w:hAnsi="Calibri" w:cs="Calibri"/>
                <w:color w:val="595959" w:themeColor="text1" w:themeTint="A6"/>
              </w:rPr>
              <w:t>.</w:t>
            </w:r>
          </w:p>
          <w:p w:rsidR="00E867AD" w:rsidRPr="0056190C" w:rsidRDefault="00E867AD" w:rsidP="0056190C">
            <w:pPr>
              <w:rPr>
                <w:rFonts w:ascii="Calibri" w:eastAsiaTheme="minorHAnsi" w:hAnsi="Calibri" w:cs="Calibri"/>
                <w:color w:val="595959" w:themeColor="text1" w:themeTint="A6"/>
              </w:rPr>
            </w:pPr>
          </w:p>
        </w:tc>
      </w:tr>
      <w:tr w:rsidR="00CC3A35" w:rsidTr="002551A9">
        <w:tc>
          <w:tcPr>
            <w:tcW w:w="3262" w:type="dxa"/>
          </w:tcPr>
          <w:p w:rsidR="00CC3A35" w:rsidRPr="0056190C" w:rsidRDefault="0056190C"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(21)</w:t>
            </w:r>
          </w:p>
        </w:tc>
        <w:tc>
          <w:tcPr>
            <w:tcW w:w="7237" w:type="dxa"/>
          </w:tcPr>
          <w:p w:rsidR="00CC3A35" w:rsidRDefault="00E867AD"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No.</w:t>
            </w:r>
          </w:p>
          <w:p w:rsidR="00E867AD" w:rsidRPr="0056190C" w:rsidRDefault="00E867AD" w:rsidP="0056190C">
            <w:pPr>
              <w:rPr>
                <w:rFonts w:ascii="Calibri" w:eastAsiaTheme="minorHAnsi" w:hAnsi="Calibri" w:cs="Calibri"/>
                <w:color w:val="595959" w:themeColor="text1" w:themeTint="A6"/>
              </w:rPr>
            </w:pPr>
          </w:p>
        </w:tc>
      </w:tr>
      <w:tr w:rsidR="0056190C" w:rsidTr="002551A9">
        <w:tc>
          <w:tcPr>
            <w:tcW w:w="3262" w:type="dxa"/>
          </w:tcPr>
          <w:p w:rsidR="0056190C" w:rsidRPr="0056190C" w:rsidRDefault="0056190C"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(22)</w:t>
            </w:r>
          </w:p>
        </w:tc>
        <w:tc>
          <w:tcPr>
            <w:tcW w:w="7237" w:type="dxa"/>
          </w:tcPr>
          <w:p w:rsidR="0056190C" w:rsidRDefault="00E867AD"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See</w:t>
            </w:r>
            <w:r w:rsidR="0056190C">
              <w:rPr>
                <w:rFonts w:ascii="Calibri" w:eastAsiaTheme="minorHAnsi" w:hAnsi="Calibri" w:cs="Calibri"/>
                <w:color w:val="595959" w:themeColor="text1" w:themeTint="A6"/>
              </w:rPr>
              <w:t xml:space="preserve"> (</w:t>
            </w:r>
            <w:r>
              <w:rPr>
                <w:rFonts w:ascii="Calibri" w:eastAsiaTheme="minorHAnsi" w:hAnsi="Calibri" w:cs="Calibri"/>
                <w:color w:val="595959" w:themeColor="text1" w:themeTint="A6"/>
              </w:rPr>
              <w:t>5) and (</w:t>
            </w:r>
            <w:r w:rsidR="0056190C">
              <w:rPr>
                <w:rFonts w:ascii="Calibri" w:eastAsiaTheme="minorHAnsi" w:hAnsi="Calibri" w:cs="Calibri"/>
                <w:color w:val="595959" w:themeColor="text1" w:themeTint="A6"/>
              </w:rPr>
              <w:t>9) above.</w:t>
            </w:r>
          </w:p>
          <w:p w:rsidR="00E867AD" w:rsidRPr="0056190C" w:rsidRDefault="00E867AD" w:rsidP="0056190C">
            <w:pPr>
              <w:rPr>
                <w:rFonts w:ascii="Calibri" w:eastAsiaTheme="minorHAnsi" w:hAnsi="Calibri" w:cs="Calibri"/>
                <w:color w:val="595959" w:themeColor="text1" w:themeTint="A6"/>
              </w:rPr>
            </w:pPr>
          </w:p>
        </w:tc>
      </w:tr>
      <w:tr w:rsidR="0056190C" w:rsidTr="002551A9">
        <w:tc>
          <w:tcPr>
            <w:tcW w:w="3262" w:type="dxa"/>
          </w:tcPr>
          <w:p w:rsidR="0056190C" w:rsidRPr="0056190C" w:rsidRDefault="0056190C"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(23)</w:t>
            </w:r>
          </w:p>
        </w:tc>
        <w:tc>
          <w:tcPr>
            <w:tcW w:w="7237" w:type="dxa"/>
          </w:tcPr>
          <w:p w:rsidR="00E867AD" w:rsidRDefault="0056190C"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The conditions should be applied consistently regardless of the size and scale of the advice offered.  If this is not the case, then the applications of conduct </w:t>
            </w:r>
            <w:r w:rsidR="00E867AD">
              <w:rPr>
                <w:rFonts w:ascii="Calibri" w:eastAsiaTheme="minorHAnsi" w:hAnsi="Calibri" w:cs="Calibri"/>
                <w:color w:val="595959" w:themeColor="text1" w:themeTint="A6"/>
              </w:rPr>
              <w:t xml:space="preserve">requirements </w:t>
            </w:r>
            <w:r>
              <w:rPr>
                <w:rFonts w:ascii="Calibri" w:eastAsiaTheme="minorHAnsi" w:hAnsi="Calibri" w:cs="Calibri"/>
                <w:color w:val="595959" w:themeColor="text1" w:themeTint="A6"/>
              </w:rPr>
              <w:t xml:space="preserve">become subjective and this is not a desirable outcome.  </w:t>
            </w:r>
          </w:p>
          <w:p w:rsidR="0056190C" w:rsidRDefault="0056190C"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All consumers should expect the same standards of conduct regardless of the provider they are receiving advice from.</w:t>
            </w:r>
          </w:p>
          <w:p w:rsidR="00E867AD" w:rsidRPr="0056190C" w:rsidRDefault="00E867AD" w:rsidP="0056190C">
            <w:pPr>
              <w:rPr>
                <w:rFonts w:ascii="Calibri" w:eastAsiaTheme="minorHAnsi" w:hAnsi="Calibri" w:cs="Calibri"/>
                <w:color w:val="595959" w:themeColor="text1" w:themeTint="A6"/>
              </w:rPr>
            </w:pPr>
          </w:p>
        </w:tc>
      </w:tr>
      <w:tr w:rsidR="0056190C" w:rsidTr="002551A9">
        <w:tc>
          <w:tcPr>
            <w:tcW w:w="3262" w:type="dxa"/>
          </w:tcPr>
          <w:p w:rsidR="0056190C" w:rsidRPr="0056190C" w:rsidRDefault="0056190C"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lastRenderedPageBreak/>
              <w:t>(24)</w:t>
            </w:r>
          </w:p>
        </w:tc>
        <w:tc>
          <w:tcPr>
            <w:tcW w:w="7237" w:type="dxa"/>
          </w:tcPr>
          <w:p w:rsidR="0056190C" w:rsidRDefault="004846AF"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Only as set out at (5) and (9) above.</w:t>
            </w:r>
          </w:p>
          <w:p w:rsidR="00E867AD" w:rsidRPr="0056190C" w:rsidRDefault="00E867AD" w:rsidP="0056190C">
            <w:pPr>
              <w:rPr>
                <w:rFonts w:ascii="Calibri" w:eastAsiaTheme="minorHAnsi" w:hAnsi="Calibri" w:cs="Calibri"/>
                <w:color w:val="595959" w:themeColor="text1" w:themeTint="A6"/>
              </w:rPr>
            </w:pPr>
          </w:p>
        </w:tc>
      </w:tr>
      <w:tr w:rsidR="0056190C" w:rsidTr="002551A9">
        <w:tc>
          <w:tcPr>
            <w:tcW w:w="3262" w:type="dxa"/>
          </w:tcPr>
          <w:p w:rsidR="0056190C" w:rsidRPr="0056190C" w:rsidRDefault="0056190C"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(25)</w:t>
            </w:r>
          </w:p>
        </w:tc>
        <w:tc>
          <w:tcPr>
            <w:tcW w:w="7237" w:type="dxa"/>
          </w:tcPr>
          <w:p w:rsidR="0056190C" w:rsidRDefault="0056190C"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Yes, any guidance on the application of a new product would be helpful to ensure compliance.</w:t>
            </w:r>
          </w:p>
          <w:p w:rsidR="00E867AD" w:rsidRPr="0056190C" w:rsidRDefault="00E867AD" w:rsidP="0056190C">
            <w:pPr>
              <w:rPr>
                <w:rFonts w:ascii="Calibri" w:eastAsiaTheme="minorHAnsi" w:hAnsi="Calibri" w:cs="Calibri"/>
                <w:color w:val="595959" w:themeColor="text1" w:themeTint="A6"/>
              </w:rPr>
            </w:pPr>
          </w:p>
        </w:tc>
      </w:tr>
      <w:tr w:rsidR="0056190C" w:rsidTr="002551A9">
        <w:tc>
          <w:tcPr>
            <w:tcW w:w="3262" w:type="dxa"/>
          </w:tcPr>
          <w:p w:rsidR="0056190C" w:rsidRPr="0056190C" w:rsidRDefault="0056190C" w:rsidP="00CC3A35">
            <w:pPr>
              <w:jc w:val="center"/>
              <w:rPr>
                <w:rFonts w:ascii="Calibri" w:eastAsiaTheme="minorHAnsi" w:hAnsi="Calibri" w:cs="Calibri"/>
                <w:color w:val="595959" w:themeColor="text1" w:themeTint="A6"/>
              </w:rPr>
            </w:pPr>
            <w:r w:rsidRPr="0056190C">
              <w:rPr>
                <w:rFonts w:ascii="Calibri" w:eastAsiaTheme="minorHAnsi" w:hAnsi="Calibri" w:cs="Calibri"/>
                <w:color w:val="595959" w:themeColor="text1" w:themeTint="A6"/>
              </w:rPr>
              <w:t>(26)</w:t>
            </w:r>
          </w:p>
        </w:tc>
        <w:tc>
          <w:tcPr>
            <w:tcW w:w="7237" w:type="dxa"/>
          </w:tcPr>
          <w:p w:rsidR="0056190C" w:rsidRDefault="0056190C"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Yes, that would be helpful for consumers to have an assurance about the products available to them.  This is </w:t>
            </w:r>
            <w:r w:rsidR="000321B9">
              <w:rPr>
                <w:rFonts w:ascii="Calibri" w:eastAsiaTheme="minorHAnsi" w:hAnsi="Calibri" w:cs="Calibri"/>
                <w:color w:val="595959" w:themeColor="text1" w:themeTint="A6"/>
              </w:rPr>
              <w:t>especially</w:t>
            </w:r>
            <w:r w:rsidR="004846AF">
              <w:rPr>
                <w:rFonts w:ascii="Calibri" w:eastAsiaTheme="minorHAnsi" w:hAnsi="Calibri" w:cs="Calibri"/>
                <w:color w:val="595959" w:themeColor="text1" w:themeTint="A6"/>
              </w:rPr>
              <w:t xml:space="preserve"> necessary because r</w:t>
            </w:r>
            <w:r>
              <w:rPr>
                <w:rFonts w:ascii="Calibri" w:eastAsiaTheme="minorHAnsi" w:hAnsi="Calibri" w:cs="Calibri"/>
                <w:color w:val="595959" w:themeColor="text1" w:themeTint="A6"/>
              </w:rPr>
              <w:t xml:space="preserve">obo-advice can be provided across borders beyond the FMA’s jurisdiction.  New Zealand consumers need to know that they can have confidence that providers are regulated and accountable to authorities in New Zealand and this would be a means of ensuring that distinction occurs. </w:t>
            </w:r>
          </w:p>
          <w:p w:rsidR="004846AF" w:rsidRDefault="004846AF" w:rsidP="0056190C">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We note that some of our members seek to protect the anonymity of the robo-advice platform for commercial reasons to maintain a competitive advantage. We suggest this could be handled by not publishing the list of providers active in the market until immediately after they have launched their product publicly. </w:t>
            </w:r>
          </w:p>
          <w:p w:rsidR="00E867AD" w:rsidRPr="0056190C" w:rsidRDefault="00E867AD" w:rsidP="0056190C">
            <w:pPr>
              <w:rPr>
                <w:rFonts w:ascii="Calibri" w:eastAsiaTheme="minorHAnsi" w:hAnsi="Calibri" w:cs="Calibri"/>
                <w:color w:val="595959" w:themeColor="text1" w:themeTint="A6"/>
              </w:rPr>
            </w:pPr>
          </w:p>
        </w:tc>
      </w:tr>
      <w:tr w:rsidR="0056190C" w:rsidTr="002551A9">
        <w:tc>
          <w:tcPr>
            <w:tcW w:w="3262" w:type="dxa"/>
          </w:tcPr>
          <w:p w:rsidR="0056190C" w:rsidRPr="0056190C" w:rsidRDefault="0056190C" w:rsidP="00CC3A35">
            <w:pPr>
              <w:jc w:val="center"/>
              <w:rPr>
                <w:rFonts w:ascii="Calibri" w:eastAsiaTheme="minorHAnsi" w:hAnsi="Calibri" w:cs="Calibri"/>
                <w:color w:val="595959" w:themeColor="text1" w:themeTint="A6"/>
              </w:rPr>
            </w:pPr>
            <w:r>
              <w:rPr>
                <w:rFonts w:ascii="Calibri" w:eastAsiaTheme="minorHAnsi" w:hAnsi="Calibri" w:cs="Calibri"/>
                <w:color w:val="595959" w:themeColor="text1" w:themeTint="A6"/>
              </w:rPr>
              <w:t>(27)</w:t>
            </w:r>
          </w:p>
        </w:tc>
        <w:tc>
          <w:tcPr>
            <w:tcW w:w="7237" w:type="dxa"/>
          </w:tcPr>
          <w:p w:rsidR="0056190C" w:rsidRDefault="00654827" w:rsidP="00654827">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The term </w:t>
            </w:r>
            <w:r w:rsidR="000321B9">
              <w:rPr>
                <w:rFonts w:ascii="Calibri" w:eastAsiaTheme="minorHAnsi" w:hAnsi="Calibri" w:cs="Calibri"/>
                <w:color w:val="595959" w:themeColor="text1" w:themeTint="A6"/>
              </w:rPr>
              <w:t>r</w:t>
            </w:r>
            <w:r>
              <w:rPr>
                <w:rFonts w:ascii="Calibri" w:eastAsiaTheme="minorHAnsi" w:hAnsi="Calibri" w:cs="Calibri"/>
                <w:color w:val="595959" w:themeColor="text1" w:themeTint="A6"/>
              </w:rPr>
              <w:t>obo-advice is somewhat misleading and particular</w:t>
            </w:r>
            <w:r w:rsidR="000321B9">
              <w:rPr>
                <w:rFonts w:ascii="Calibri" w:eastAsiaTheme="minorHAnsi" w:hAnsi="Calibri" w:cs="Calibri"/>
                <w:color w:val="595959" w:themeColor="text1" w:themeTint="A6"/>
              </w:rPr>
              <w:t>ly</w:t>
            </w:r>
            <w:r>
              <w:rPr>
                <w:rFonts w:ascii="Calibri" w:eastAsiaTheme="minorHAnsi" w:hAnsi="Calibri" w:cs="Calibri"/>
                <w:color w:val="595959" w:themeColor="text1" w:themeTint="A6"/>
              </w:rPr>
              <w:t xml:space="preserve"> so for the public given the st</w:t>
            </w:r>
            <w:r w:rsidR="000321B9">
              <w:rPr>
                <w:rFonts w:ascii="Calibri" w:eastAsiaTheme="minorHAnsi" w:hAnsi="Calibri" w:cs="Calibri"/>
                <w:color w:val="595959" w:themeColor="text1" w:themeTint="A6"/>
              </w:rPr>
              <w:t>ereotypical view of what a r</w:t>
            </w:r>
            <w:r>
              <w:rPr>
                <w:rFonts w:ascii="Calibri" w:eastAsiaTheme="minorHAnsi" w:hAnsi="Calibri" w:cs="Calibri"/>
                <w:color w:val="595959" w:themeColor="text1" w:themeTint="A6"/>
              </w:rPr>
              <w:t>obot is.</w:t>
            </w:r>
            <w:r w:rsidR="000321B9">
              <w:rPr>
                <w:rFonts w:ascii="Calibri" w:eastAsiaTheme="minorHAnsi" w:hAnsi="Calibri" w:cs="Calibri"/>
                <w:color w:val="595959" w:themeColor="text1" w:themeTint="A6"/>
              </w:rPr>
              <w:t xml:space="preserve"> </w:t>
            </w:r>
            <w:r>
              <w:rPr>
                <w:rFonts w:ascii="Calibri" w:eastAsiaTheme="minorHAnsi" w:hAnsi="Calibri" w:cs="Calibri"/>
                <w:color w:val="595959" w:themeColor="text1" w:themeTint="A6"/>
              </w:rPr>
              <w:t xml:space="preserve">It connotes something like a cyborg with humanoid features. This may convey to members of the public capabilities enhanced by science fiction that far exceed what these digital or automated services can provide. So, alternative terminology would be more appropriate.  </w:t>
            </w:r>
          </w:p>
          <w:p w:rsidR="00E867AD" w:rsidRPr="0056190C" w:rsidRDefault="00E867AD" w:rsidP="00654827">
            <w:pPr>
              <w:rPr>
                <w:rFonts w:ascii="Calibri" w:eastAsiaTheme="minorHAnsi" w:hAnsi="Calibri" w:cs="Calibri"/>
                <w:color w:val="595959" w:themeColor="text1" w:themeTint="A6"/>
              </w:rPr>
            </w:pPr>
          </w:p>
        </w:tc>
      </w:tr>
      <w:tr w:rsidR="0056190C" w:rsidTr="002551A9">
        <w:tc>
          <w:tcPr>
            <w:tcW w:w="3262" w:type="dxa"/>
          </w:tcPr>
          <w:p w:rsidR="0056190C" w:rsidRPr="0056190C" w:rsidRDefault="0056190C" w:rsidP="00CC3A35">
            <w:pPr>
              <w:jc w:val="center"/>
              <w:rPr>
                <w:rFonts w:ascii="Calibri" w:eastAsiaTheme="minorHAnsi" w:hAnsi="Calibri" w:cs="Calibri"/>
                <w:color w:val="595959" w:themeColor="text1" w:themeTint="A6"/>
              </w:rPr>
            </w:pPr>
            <w:r>
              <w:rPr>
                <w:rFonts w:ascii="Calibri" w:eastAsiaTheme="minorHAnsi" w:hAnsi="Calibri" w:cs="Calibri"/>
                <w:color w:val="595959" w:themeColor="text1" w:themeTint="A6"/>
              </w:rPr>
              <w:t>(28)</w:t>
            </w:r>
          </w:p>
        </w:tc>
        <w:tc>
          <w:tcPr>
            <w:tcW w:w="7237" w:type="dxa"/>
          </w:tcPr>
          <w:p w:rsidR="0056190C" w:rsidRDefault="00654827" w:rsidP="00654827">
            <w:pPr>
              <w:rPr>
                <w:rFonts w:ascii="Calibri" w:eastAsiaTheme="minorHAnsi" w:hAnsi="Calibri" w:cs="Calibri"/>
                <w:color w:val="595959" w:themeColor="text1" w:themeTint="A6"/>
              </w:rPr>
            </w:pPr>
            <w:r>
              <w:rPr>
                <w:rFonts w:ascii="Calibri" w:eastAsiaTheme="minorHAnsi" w:hAnsi="Calibri" w:cs="Calibri"/>
                <w:color w:val="595959" w:themeColor="text1" w:themeTint="A6"/>
              </w:rPr>
              <w:t xml:space="preserve">The cross-border issues raised in (26) is one that the FMA needs to apply more thought to </w:t>
            </w:r>
            <w:r w:rsidR="004846AF">
              <w:rPr>
                <w:rFonts w:ascii="Calibri" w:eastAsiaTheme="minorHAnsi" w:hAnsi="Calibri" w:cs="Calibri"/>
                <w:color w:val="595959" w:themeColor="text1" w:themeTint="A6"/>
              </w:rPr>
              <w:t xml:space="preserve">across all its activities </w:t>
            </w:r>
            <w:r>
              <w:rPr>
                <w:rFonts w:ascii="Calibri" w:eastAsiaTheme="minorHAnsi" w:hAnsi="Calibri" w:cs="Calibri"/>
                <w:color w:val="595959" w:themeColor="text1" w:themeTint="A6"/>
              </w:rPr>
              <w:t xml:space="preserve">as digitalised product offerings become increasingly prevalent.  It </w:t>
            </w:r>
            <w:r w:rsidR="000321B9">
              <w:rPr>
                <w:rFonts w:ascii="Calibri" w:eastAsiaTheme="minorHAnsi" w:hAnsi="Calibri" w:cs="Calibri"/>
                <w:color w:val="595959" w:themeColor="text1" w:themeTint="A6"/>
              </w:rPr>
              <w:t>suggests</w:t>
            </w:r>
            <w:r>
              <w:rPr>
                <w:rFonts w:ascii="Calibri" w:eastAsiaTheme="minorHAnsi" w:hAnsi="Calibri" w:cs="Calibri"/>
                <w:color w:val="595959" w:themeColor="text1" w:themeTint="A6"/>
              </w:rPr>
              <w:t xml:space="preserve"> the need for regulators to engage with their counterparts as well as the industry to inform a path forward.</w:t>
            </w:r>
          </w:p>
          <w:p w:rsidR="00102717" w:rsidRDefault="00102717" w:rsidP="00654827">
            <w:pPr>
              <w:rPr>
                <w:rFonts w:ascii="Calibri" w:hAnsi="Calibri" w:cs="Calibri"/>
              </w:rPr>
            </w:pPr>
            <w:r w:rsidRPr="0010033F">
              <w:rPr>
                <w:rFonts w:ascii="Calibri" w:hAnsi="Calibri" w:cs="Calibri"/>
              </w:rPr>
              <w:t>Holistic and transparent regulatory changes need to occur across jurisdictions that will create environments that are conducive to innovation, and that are proportionate, minimally intrusive and applied evenly to all market participants to foster competition and collaboration</w:t>
            </w:r>
            <w:r w:rsidR="004846AF">
              <w:rPr>
                <w:rFonts w:ascii="Calibri" w:hAnsi="Calibri" w:cs="Calibri"/>
              </w:rPr>
              <w:t>.</w:t>
            </w:r>
          </w:p>
          <w:p w:rsidR="004846AF" w:rsidRPr="0056190C" w:rsidRDefault="004846AF" w:rsidP="00654827">
            <w:pPr>
              <w:rPr>
                <w:rFonts w:ascii="Calibri" w:eastAsiaTheme="minorHAnsi" w:hAnsi="Calibri" w:cs="Calibri"/>
                <w:color w:val="595959" w:themeColor="text1" w:themeTint="A6"/>
              </w:rPr>
            </w:pPr>
            <w:bookmarkStart w:id="4" w:name="_GoBack"/>
            <w:bookmarkEnd w:id="4"/>
          </w:p>
        </w:tc>
      </w:tr>
      <w:tr w:rsidR="0056190C" w:rsidTr="002551A9">
        <w:tc>
          <w:tcPr>
            <w:tcW w:w="3262" w:type="dxa"/>
          </w:tcPr>
          <w:p w:rsidR="0056190C" w:rsidRPr="0056190C" w:rsidRDefault="0056190C" w:rsidP="00CC3A35">
            <w:pPr>
              <w:jc w:val="center"/>
              <w:rPr>
                <w:rFonts w:ascii="Calibri" w:eastAsiaTheme="minorHAnsi" w:hAnsi="Calibri" w:cs="Calibri"/>
                <w:color w:val="595959" w:themeColor="text1" w:themeTint="A6"/>
              </w:rPr>
            </w:pPr>
          </w:p>
        </w:tc>
        <w:tc>
          <w:tcPr>
            <w:tcW w:w="7237" w:type="dxa"/>
          </w:tcPr>
          <w:p w:rsidR="0056190C" w:rsidRPr="0056190C" w:rsidRDefault="0056190C" w:rsidP="00CC3A35">
            <w:pPr>
              <w:jc w:val="center"/>
              <w:rPr>
                <w:rFonts w:ascii="Calibri" w:eastAsiaTheme="minorHAnsi" w:hAnsi="Calibri" w:cs="Calibri"/>
                <w:color w:val="595959" w:themeColor="text1" w:themeTint="A6"/>
              </w:rPr>
            </w:pPr>
          </w:p>
        </w:tc>
      </w:tr>
      <w:tr w:rsidR="00965507" w:rsidTr="002551A9">
        <w:tc>
          <w:tcPr>
            <w:tcW w:w="10499" w:type="dxa"/>
            <w:gridSpan w:val="2"/>
          </w:tcPr>
          <w:p w:rsidR="00965507" w:rsidRDefault="00965507" w:rsidP="002551A9">
            <w:pPr>
              <w:rPr>
                <w:rFonts w:eastAsiaTheme="minorHAnsi"/>
                <w:color w:val="595959" w:themeColor="text1" w:themeTint="A6"/>
                <w:szCs w:val="20"/>
              </w:rPr>
            </w:pPr>
            <w:r>
              <w:rPr>
                <w:rFonts w:eastAsiaTheme="minorHAnsi"/>
                <w:b/>
                <w:color w:val="595959" w:themeColor="text1" w:themeTint="A6"/>
              </w:rPr>
              <w:t>Feedback summary</w:t>
            </w:r>
            <w:r>
              <w:rPr>
                <w:rFonts w:eastAsiaTheme="minorHAnsi"/>
                <w:color w:val="595959" w:themeColor="text1" w:themeTint="A6"/>
              </w:rPr>
              <w:t xml:space="preserve"> – </w:t>
            </w:r>
            <w:r>
              <w:rPr>
                <w:rFonts w:eastAsiaTheme="minorHAnsi"/>
                <w:i/>
                <w:color w:val="595959" w:themeColor="text1" w:themeTint="A6"/>
                <w:szCs w:val="20"/>
              </w:rPr>
              <w:t>if you wish to highlight anything in particular</w:t>
            </w:r>
          </w:p>
        </w:tc>
      </w:tr>
      <w:tr w:rsidR="00965507" w:rsidTr="002551A9">
        <w:trPr>
          <w:trHeight w:val="1422"/>
        </w:trPr>
        <w:tc>
          <w:tcPr>
            <w:tcW w:w="10499" w:type="dxa"/>
            <w:gridSpan w:val="2"/>
            <w:vAlign w:val="center"/>
          </w:tcPr>
          <w:p w:rsidR="00965507" w:rsidRDefault="00965507" w:rsidP="002551A9">
            <w:pPr>
              <w:rPr>
                <w:rFonts w:eastAsiaTheme="minorHAnsi"/>
                <w:color w:val="595959" w:themeColor="text1" w:themeTint="A6"/>
              </w:rPr>
            </w:pPr>
            <w:r>
              <w:rPr>
                <w:rFonts w:eastAsiaTheme="minorHAnsi"/>
                <w:b/>
                <w:color w:val="595959" w:themeColor="text1" w:themeTint="A6"/>
              </w:rPr>
              <w:t>Please note:</w:t>
            </w:r>
            <w:r>
              <w:rPr>
                <w:rFonts w:eastAsiaTheme="minorHAnsi"/>
                <w:color w:val="595959" w:themeColor="text1" w:themeTint="A6"/>
              </w:rPr>
              <w:t xml:space="preserve"> </w:t>
            </w:r>
            <w:r>
              <w:rPr>
                <w:rFonts w:eastAsiaTheme="minorHAnsi"/>
                <w:color w:val="595959" w:themeColor="text1" w:themeTint="A6"/>
                <w:szCs w:val="20"/>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Pr>
                <w:rFonts w:eastAsiaTheme="minorHAnsi"/>
                <w:color w:val="595959" w:themeColor="text1" w:themeTint="A6"/>
              </w:rPr>
              <w:t xml:space="preserve"> </w:t>
            </w:r>
          </w:p>
        </w:tc>
      </w:tr>
      <w:tr w:rsidR="00965507" w:rsidTr="002551A9">
        <w:tc>
          <w:tcPr>
            <w:tcW w:w="10499" w:type="dxa"/>
            <w:gridSpan w:val="2"/>
            <w:shd w:val="clear" w:color="auto" w:fill="F2F2F2" w:themeFill="background1" w:themeFillShade="F2"/>
          </w:tcPr>
          <w:p w:rsidR="00965507" w:rsidRDefault="00965507" w:rsidP="002551A9">
            <w:pPr>
              <w:rPr>
                <w:rFonts w:eastAsiaTheme="minorHAnsi"/>
                <w:b/>
                <w:color w:val="595959" w:themeColor="text1" w:themeTint="A6"/>
                <w:sz w:val="28"/>
                <w:szCs w:val="28"/>
              </w:rPr>
            </w:pPr>
            <w:r>
              <w:rPr>
                <w:rFonts w:eastAsiaTheme="minorHAnsi"/>
                <w:b/>
                <w:color w:val="595959" w:themeColor="text1" w:themeTint="A6"/>
                <w:sz w:val="28"/>
                <w:szCs w:val="28"/>
              </w:rPr>
              <w:t>Thank you for your feedback – we appreciate your time and input.</w:t>
            </w:r>
          </w:p>
        </w:tc>
      </w:tr>
    </w:tbl>
    <w:p w:rsidR="00C330C4" w:rsidRDefault="004846AF"/>
    <w:sectPr w:rsidR="00C330C4" w:rsidSect="00965507">
      <w:pgSz w:w="11906" w:h="16838"/>
      <w:pgMar w:top="2835"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3D2"/>
    <w:multiLevelType w:val="hybridMultilevel"/>
    <w:tmpl w:val="11B0CEEE"/>
    <w:lvl w:ilvl="0" w:tplc="DCD8DF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7A03A5"/>
    <w:multiLevelType w:val="hybridMultilevel"/>
    <w:tmpl w:val="03D093D0"/>
    <w:lvl w:ilvl="0" w:tplc="A6E6583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07"/>
    <w:rsid w:val="000321B9"/>
    <w:rsid w:val="000F4B2E"/>
    <w:rsid w:val="00102717"/>
    <w:rsid w:val="00130FF5"/>
    <w:rsid w:val="00141AC7"/>
    <w:rsid w:val="00181627"/>
    <w:rsid w:val="001F3879"/>
    <w:rsid w:val="00464639"/>
    <w:rsid w:val="00467CA4"/>
    <w:rsid w:val="004846AF"/>
    <w:rsid w:val="0056190C"/>
    <w:rsid w:val="00654827"/>
    <w:rsid w:val="00734FB4"/>
    <w:rsid w:val="007E0B87"/>
    <w:rsid w:val="00823002"/>
    <w:rsid w:val="00864CF3"/>
    <w:rsid w:val="008F2644"/>
    <w:rsid w:val="00965507"/>
    <w:rsid w:val="00B13468"/>
    <w:rsid w:val="00B77823"/>
    <w:rsid w:val="00CC3A35"/>
    <w:rsid w:val="00CE2991"/>
    <w:rsid w:val="00D838D7"/>
    <w:rsid w:val="00DD6404"/>
    <w:rsid w:val="00E45761"/>
    <w:rsid w:val="00E75CDB"/>
    <w:rsid w:val="00E867AD"/>
    <w:rsid w:val="00EC1D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C295"/>
  <w15:docId w15:val="{05A208D7-CA6F-4559-B847-AB04A51D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507"/>
    <w:pPr>
      <w:spacing w:after="120" w:line="275" w:lineRule="exact"/>
    </w:pPr>
    <w:rPr>
      <w:rFonts w:ascii="Calibri Light" w:eastAsia="Calibri" w:hAnsi="Calibri Light" w:cs="Times New Roman"/>
      <w:color w:val="3D3F3E"/>
      <w:szCs w:val="21"/>
    </w:rPr>
  </w:style>
  <w:style w:type="paragraph" w:styleId="Heading2">
    <w:name w:val="heading 2"/>
    <w:next w:val="Normal"/>
    <w:link w:val="Heading2Char"/>
    <w:qFormat/>
    <w:rsid w:val="00965507"/>
    <w:pPr>
      <w:keepNext/>
      <w:spacing w:before="240" w:line="275" w:lineRule="exact"/>
      <w:outlineLvl w:val="1"/>
    </w:pPr>
    <w:rPr>
      <w:rFonts w:eastAsia="Times New Roman" w:cs="Times New Roman"/>
      <w:bCs/>
      <w:iCs/>
      <w:color w:val="00B0F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5507"/>
    <w:rPr>
      <w:rFonts w:eastAsia="Times New Roman" w:cs="Times New Roman"/>
      <w:bCs/>
      <w:iCs/>
      <w:color w:val="00B0F0"/>
      <w:sz w:val="32"/>
      <w:szCs w:val="32"/>
      <w:lang w:val="en-US"/>
    </w:rPr>
  </w:style>
  <w:style w:type="character" w:styleId="Hyperlink">
    <w:name w:val="Hyperlink"/>
    <w:uiPriority w:val="99"/>
    <w:unhideWhenUsed/>
    <w:qFormat/>
    <w:rsid w:val="00965507"/>
    <w:rPr>
      <w:rFonts w:ascii="Calibri Light" w:hAnsi="Calibri Light"/>
      <w:color w:val="9BBB59" w:themeColor="accent3"/>
      <w:sz w:val="22"/>
      <w:u w:val="none"/>
      <w:lang w:val="en-US"/>
    </w:rPr>
  </w:style>
  <w:style w:type="table" w:styleId="TableGrid">
    <w:name w:val="Table Grid"/>
    <w:basedOn w:val="TableNormal"/>
    <w:uiPriority w:val="59"/>
    <w:qFormat/>
    <w:rsid w:val="00965507"/>
    <w:rPr>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UnresolvedMention">
    <w:name w:val="Unresolved Mention"/>
    <w:basedOn w:val="DefaultParagraphFont"/>
    <w:uiPriority w:val="99"/>
    <w:semiHidden/>
    <w:unhideWhenUsed/>
    <w:rsid w:val="00B77823"/>
    <w:rPr>
      <w:color w:val="808080"/>
      <w:shd w:val="clear" w:color="auto" w:fill="E6E6E6"/>
    </w:rPr>
  </w:style>
  <w:style w:type="paragraph" w:styleId="ListParagraph">
    <w:name w:val="List Paragraph"/>
    <w:basedOn w:val="Normal"/>
    <w:uiPriority w:val="34"/>
    <w:qFormat/>
    <w:rsid w:val="00B77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icnz.org.nz" TargetMode="External"/><Relationship Id="rId5" Type="http://schemas.openxmlformats.org/officeDocument/2006/relationships/hyperlink" Target="mailto:consultation@fma.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FMA</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Lobanova</dc:creator>
  <cp:lastModifiedBy>Nick Mereu</cp:lastModifiedBy>
  <cp:revision>13</cp:revision>
  <dcterms:created xsi:type="dcterms:W3CDTF">2017-07-05T01:52:00Z</dcterms:created>
  <dcterms:modified xsi:type="dcterms:W3CDTF">2017-07-18T23:17:00Z</dcterms:modified>
</cp:coreProperties>
</file>